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3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485" w:line="182" w:lineRule="auto"/>
        <w:ind w:left="407"/>
        <w:outlineLvl w:val="0"/>
        <w:rPr>
          <w:rFonts w:ascii="微软雅黑" w:hAnsi="微软雅黑" w:eastAsia="微软雅黑" w:cs="微软雅黑"/>
          <w:sz w:val="113"/>
          <w:szCs w:val="113"/>
        </w:rPr>
      </w:pPr>
      <w:r>
        <w:rPr>
          <w:rFonts w:ascii="微软雅黑" w:hAnsi="微软雅黑" w:eastAsia="微软雅黑" w:cs="微软雅黑"/>
          <w:color w:val="FF0000"/>
          <w:spacing w:val="-43"/>
          <w:w w:val="97"/>
          <w:sz w:val="113"/>
          <w:szCs w:val="113"/>
        </w:rPr>
        <w:t>邵阳市财政局文件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100" w:line="222" w:lineRule="auto"/>
        <w:ind w:left="2964"/>
      </w:pPr>
      <w:r>
        <w:rPr>
          <w:spacing w:val="4"/>
        </w:rPr>
        <w:t>邵财资〔</w:t>
      </w:r>
      <w:r>
        <w:rPr>
          <w:rFonts w:ascii="Times New Roman" w:hAnsi="Times New Roman" w:eastAsia="Times New Roman" w:cs="Times New Roman"/>
          <w:spacing w:val="4"/>
        </w:rPr>
        <w:t>2023</w:t>
      </w:r>
      <w:r>
        <w:rPr>
          <w:spacing w:val="4"/>
        </w:rPr>
        <w:t>〕</w:t>
      </w:r>
      <w:r>
        <w:rPr>
          <w:rFonts w:ascii="Times New Roman" w:hAnsi="Times New Roman" w:eastAsia="Times New Roman" w:cs="Times New Roman"/>
          <w:spacing w:val="4"/>
        </w:rPr>
        <w:t>10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4"/>
        </w:rPr>
        <w:t>号</w:t>
      </w:r>
    </w:p>
    <w:p>
      <w:pPr>
        <w:spacing w:before="69" w:line="45" w:lineRule="exact"/>
      </w:pPr>
      <w:r>
        <w:drawing>
          <wp:inline distT="0" distB="0" distL="0" distR="0">
            <wp:extent cx="5435600" cy="2857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36145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56" w:lineRule="auto"/>
        <w:rPr>
          <w:rFonts w:ascii="Arial"/>
          <w:sz w:val="21"/>
        </w:rPr>
      </w:pPr>
    </w:p>
    <w:p>
      <w:pPr>
        <w:spacing w:before="140" w:line="225" w:lineRule="auto"/>
        <w:ind w:left="483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8"/>
          <w:sz w:val="43"/>
          <w:szCs w:val="43"/>
        </w:rPr>
        <w:t>邵阳市财政局关于印发《邵阳市市级行政</w:t>
      </w:r>
    </w:p>
    <w:p>
      <w:pPr>
        <w:spacing w:before="18" w:line="225" w:lineRule="auto"/>
        <w:ind w:left="93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6"/>
          <w:sz w:val="43"/>
          <w:szCs w:val="43"/>
        </w:rPr>
        <w:t>事业单位国有资产处置操作规程》的</w:t>
      </w:r>
    </w:p>
    <w:p>
      <w:pPr>
        <w:spacing w:before="15" w:line="226" w:lineRule="auto"/>
        <w:ind w:left="3994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2"/>
          <w:sz w:val="43"/>
          <w:szCs w:val="43"/>
        </w:rPr>
        <w:t>通知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pStyle w:val="2"/>
        <w:spacing w:before="101" w:line="221" w:lineRule="auto"/>
        <w:ind w:left="25"/>
      </w:pPr>
      <w:r>
        <w:rPr>
          <w:spacing w:val="-7"/>
        </w:rPr>
        <w:t>市直各单位：</w:t>
      </w:r>
    </w:p>
    <w:p>
      <w:pPr>
        <w:pStyle w:val="2"/>
        <w:spacing w:before="165" w:line="322" w:lineRule="auto"/>
        <w:ind w:left="11" w:firstLine="650"/>
        <w:jc w:val="both"/>
      </w:pPr>
      <w:r>
        <w:rPr>
          <w:spacing w:val="9"/>
        </w:rPr>
        <w:t>为进一步规范和加强市级行政事业单位国有资产处置管理，</w:t>
      </w:r>
      <w:r>
        <w:rPr>
          <w:spacing w:val="5"/>
        </w:rPr>
        <w:t xml:space="preserve"> 明确国有资产处置操作，根据《邵阳市市级</w:t>
      </w:r>
      <w:r>
        <w:rPr>
          <w:spacing w:val="4"/>
        </w:rPr>
        <w:t xml:space="preserve">行政事业单位国有资 </w:t>
      </w:r>
      <w:r>
        <w:rPr>
          <w:spacing w:val="5"/>
        </w:rPr>
        <w:t>产处置管理办法》（邵财资〔</w:t>
      </w:r>
      <w:r>
        <w:rPr>
          <w:rFonts w:ascii="Times New Roman" w:hAnsi="Times New Roman" w:eastAsia="Times New Roman" w:cs="Times New Roman"/>
          <w:spacing w:val="5"/>
        </w:rPr>
        <w:t>2023</w:t>
      </w:r>
      <w:r>
        <w:rPr>
          <w:spacing w:val="5"/>
        </w:rPr>
        <w:t>〕</w:t>
      </w:r>
      <w:r>
        <w:rPr>
          <w:rFonts w:ascii="Times New Roman" w:hAnsi="Times New Roman" w:eastAsia="Times New Roman" w:cs="Times New Roman"/>
          <w:spacing w:val="5"/>
        </w:rPr>
        <w:t>2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5"/>
        </w:rPr>
        <w:t>号</w:t>
      </w:r>
      <w:r>
        <w:rPr>
          <w:spacing w:val="19"/>
        </w:rPr>
        <w:t>），</w:t>
      </w:r>
      <w:r>
        <w:rPr>
          <w:spacing w:val="5"/>
        </w:rPr>
        <w:t xml:space="preserve">参照《湖南省省级 </w:t>
      </w:r>
      <w:r>
        <w:rPr>
          <w:spacing w:val="3"/>
        </w:rPr>
        <w:t>行政事业单位国有资产处置操作规程》（湘财资〔</w:t>
      </w:r>
      <w:r>
        <w:rPr>
          <w:rFonts w:ascii="Times New Roman" w:hAnsi="Times New Roman" w:eastAsia="Times New Roman" w:cs="Times New Roman"/>
          <w:spacing w:val="3"/>
        </w:rPr>
        <w:t>2023</w:t>
      </w:r>
      <w:r>
        <w:rPr>
          <w:spacing w:val="3"/>
        </w:rPr>
        <w:t>〕</w:t>
      </w:r>
      <w:r>
        <w:rPr>
          <w:rFonts w:ascii="Times New Roman" w:hAnsi="Times New Roman" w:eastAsia="Times New Roman" w:cs="Times New Roman"/>
          <w:spacing w:val="3"/>
        </w:rPr>
        <w:t>9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3"/>
        </w:rPr>
        <w:t>号</w:t>
      </w:r>
      <w:r>
        <w:rPr>
          <w:spacing w:val="-40"/>
        </w:rPr>
        <w:t>），</w:t>
      </w:r>
      <w:r>
        <w:t xml:space="preserve"> </w:t>
      </w:r>
      <w:r>
        <w:rPr>
          <w:spacing w:val="6"/>
        </w:rPr>
        <w:t>制定了《邵阳市市级行政事业单位国有资产处置操作规程</w:t>
      </w:r>
      <w:r>
        <w:rPr>
          <w:spacing w:val="5"/>
        </w:rPr>
        <w:t>》，现</w:t>
      </w:r>
    </w:p>
    <w:p>
      <w:pPr>
        <w:pStyle w:val="2"/>
        <w:spacing w:before="1" w:line="220" w:lineRule="auto"/>
        <w:ind w:left="25"/>
      </w:pPr>
      <w:r>
        <w:rPr>
          <w:spacing w:val="2"/>
        </w:rPr>
        <w:t>予印发，请遵照执行。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102" w:line="220" w:lineRule="auto"/>
        <w:ind w:left="676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3067685</wp:posOffset>
            </wp:positionH>
            <wp:positionV relativeFrom="paragraph">
              <wp:posOffset>88900</wp:posOffset>
            </wp:positionV>
            <wp:extent cx="1511935" cy="151193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11999" cy="1511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8"/>
        </w:rPr>
        <w:t>附件：邵阳市市级行政事业单位国有资产处置操作规程</w:t>
      </w:r>
    </w:p>
    <w:p>
      <w:pPr>
        <w:spacing w:line="300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5083"/>
      </w:pPr>
      <w:r>
        <w:rPr>
          <w:spacing w:val="6"/>
        </w:rPr>
        <w:t>邵阳市财政局</w:t>
      </w:r>
    </w:p>
    <w:p>
      <w:pPr>
        <w:pStyle w:val="2"/>
        <w:spacing w:before="251" w:line="222" w:lineRule="auto"/>
        <w:ind w:left="4789"/>
      </w:pPr>
      <w:r>
        <w:rPr>
          <w:rFonts w:ascii="Times New Roman" w:hAnsi="Times New Roman" w:eastAsia="Times New Roman" w:cs="Times New Roman"/>
          <w:spacing w:val="-4"/>
        </w:rPr>
        <w:t>2023</w:t>
      </w:r>
      <w:r>
        <w:rPr>
          <w:rFonts w:ascii="Times New Roman" w:hAnsi="Times New Roman" w:eastAsia="Times New Roman" w:cs="Times New Roman"/>
          <w:spacing w:val="25"/>
          <w:w w:val="101"/>
        </w:rPr>
        <w:t xml:space="preserve"> </w:t>
      </w:r>
      <w:r>
        <w:rPr>
          <w:spacing w:val="-4"/>
        </w:rPr>
        <w:t>年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12</w:t>
      </w:r>
      <w:r>
        <w:rPr>
          <w:rFonts w:ascii="Times New Roman" w:hAnsi="Times New Roman" w:eastAsia="Times New Roman" w:cs="Times New Roman"/>
          <w:spacing w:val="34"/>
          <w:w w:val="101"/>
        </w:rPr>
        <w:t xml:space="preserve"> </w:t>
      </w:r>
      <w:r>
        <w:rPr>
          <w:spacing w:val="-4"/>
        </w:rPr>
        <w:t>月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 xml:space="preserve">29  </w:t>
      </w:r>
      <w:r>
        <w:rPr>
          <w:spacing w:val="-4"/>
        </w:rPr>
        <w:t>日</w:t>
      </w:r>
    </w:p>
    <w:p>
      <w:pPr>
        <w:spacing w:line="222" w:lineRule="auto"/>
        <w:sectPr>
          <w:headerReference r:id="rId5" w:type="default"/>
          <w:pgSz w:w="11906" w:h="16838"/>
          <w:pgMar w:top="400" w:right="1355" w:bottom="0" w:left="1586" w:header="0" w:footer="0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230" w:lineRule="auto"/>
        <w:ind w:left="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附件</w:t>
      </w:r>
    </w:p>
    <w:p>
      <w:pPr>
        <w:spacing w:before="230" w:line="219" w:lineRule="auto"/>
        <w:ind w:left="2661" w:right="1220" w:hanging="154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邵阳市市级行政事业单位国有资产</w:t>
      </w:r>
      <w:r>
        <w:rPr>
          <w:rFonts w:ascii="微软雅黑" w:hAnsi="微软雅黑" w:eastAsia="微软雅黑" w:cs="微软雅黑"/>
          <w:spacing w:val="5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处置管理操作规程</w:t>
      </w:r>
    </w:p>
    <w:p>
      <w:pPr>
        <w:spacing w:line="312" w:lineRule="auto"/>
        <w:rPr>
          <w:rFonts w:ascii="Arial"/>
          <w:sz w:val="21"/>
        </w:rPr>
      </w:pPr>
    </w:p>
    <w:p>
      <w:pPr>
        <w:spacing w:before="100" w:line="227" w:lineRule="auto"/>
        <w:ind w:left="354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第一章</w:t>
      </w:r>
      <w:r>
        <w:rPr>
          <w:rFonts w:ascii="黑体" w:hAnsi="黑体" w:eastAsia="黑体" w:cs="黑体"/>
          <w:spacing w:val="2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总则</w:t>
      </w:r>
    </w:p>
    <w:p>
      <w:pPr>
        <w:pStyle w:val="2"/>
        <w:spacing w:before="313" w:line="322" w:lineRule="auto"/>
        <w:ind w:left="10" w:right="95" w:firstLine="650"/>
      </w:pPr>
      <w:r>
        <w:rPr>
          <w:spacing w:val="10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第一条</w:t>
      </w:r>
      <w:r>
        <w:rPr>
          <w:spacing w:val="10"/>
        </w:rPr>
        <w:t xml:space="preserve"> 为切实加强市级行政事业单位国有资产处置管理，</w:t>
      </w:r>
      <w:r>
        <w:t xml:space="preserve"> </w:t>
      </w:r>
      <w:r>
        <w:rPr>
          <w:spacing w:val="5"/>
        </w:rPr>
        <w:t>规范国有资产处置行为，维护国有资产的安全和完整，根据《行</w:t>
      </w:r>
      <w:r>
        <w:rPr>
          <w:spacing w:val="6"/>
        </w:rPr>
        <w:t xml:space="preserve"> </w:t>
      </w:r>
      <w:r>
        <w:rPr>
          <w:spacing w:val="5"/>
        </w:rPr>
        <w:t>政事业性国有资产管理条例》和《邵阳市市级行政事业单位国有</w:t>
      </w:r>
      <w:r>
        <w:rPr>
          <w:spacing w:val="6"/>
        </w:rPr>
        <w:t xml:space="preserve"> 资产处置管理办法》（邵财资〔</w:t>
      </w:r>
      <w:r>
        <w:rPr>
          <w:rFonts w:ascii="Times New Roman" w:hAnsi="Times New Roman" w:eastAsia="Times New Roman" w:cs="Times New Roman"/>
          <w:spacing w:val="6"/>
        </w:rPr>
        <w:t>2023</w:t>
      </w:r>
      <w:r>
        <w:rPr>
          <w:spacing w:val="6"/>
        </w:rPr>
        <w:t>〕</w:t>
      </w:r>
      <w:r>
        <w:rPr>
          <w:rFonts w:ascii="Times New Roman" w:hAnsi="Times New Roman" w:eastAsia="Times New Roman" w:cs="Times New Roman"/>
          <w:spacing w:val="6"/>
        </w:rPr>
        <w:t>2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6"/>
        </w:rPr>
        <w:t>号）等文件规定，结合</w:t>
      </w:r>
    </w:p>
    <w:p>
      <w:pPr>
        <w:pStyle w:val="2"/>
        <w:spacing w:before="1" w:line="220" w:lineRule="auto"/>
        <w:ind w:left="11"/>
      </w:pPr>
      <w:r>
        <w:rPr>
          <w:spacing w:val="-10"/>
        </w:rPr>
        <w:t>工作实际，</w:t>
      </w:r>
      <w:r>
        <w:rPr>
          <w:spacing w:val="37"/>
        </w:rPr>
        <w:t xml:space="preserve"> </w:t>
      </w:r>
      <w:r>
        <w:rPr>
          <w:spacing w:val="-10"/>
        </w:rPr>
        <w:t>制定本操作规程。</w:t>
      </w:r>
    </w:p>
    <w:p>
      <w:pPr>
        <w:pStyle w:val="2"/>
        <w:spacing w:before="168" w:line="322" w:lineRule="auto"/>
        <w:ind w:left="11" w:right="95" w:firstLine="649"/>
      </w:pPr>
      <w:r>
        <w:rPr>
          <w:spacing w:val="17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第二条</w:t>
      </w:r>
      <w:r>
        <w:rPr>
          <w:spacing w:val="69"/>
        </w:rPr>
        <w:t xml:space="preserve"> </w:t>
      </w:r>
      <w:r>
        <w:rPr>
          <w:spacing w:val="17"/>
        </w:rPr>
        <w:t>市级行政事业单位国有资产处置基本审批流程为</w:t>
      </w:r>
      <w:r>
        <w:rPr>
          <w:rFonts w:ascii="Times New Roman" w:hAnsi="Times New Roman" w:eastAsia="Times New Roman" w:cs="Times New Roman"/>
          <w:spacing w:val="17"/>
        </w:rPr>
        <w:t>: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11"/>
        </w:rPr>
        <w:t>单位申报</w:t>
      </w:r>
      <w:r>
        <w:rPr>
          <w:rFonts w:ascii="Times New Roman" w:hAnsi="Times New Roman" w:eastAsia="Times New Roman" w:cs="Times New Roman"/>
          <w:spacing w:val="11"/>
        </w:rPr>
        <w:t>→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11"/>
        </w:rPr>
        <w:t>主管部门审核</w:t>
      </w:r>
      <w:r>
        <w:rPr>
          <w:rFonts w:ascii="Times New Roman" w:hAnsi="Times New Roman" w:eastAsia="Times New Roman" w:cs="Times New Roman"/>
          <w:spacing w:val="11"/>
        </w:rPr>
        <w:t>→</w:t>
      </w:r>
      <w:r>
        <w:rPr>
          <w:rFonts w:ascii="Times New Roman" w:hAnsi="Times New Roman" w:eastAsia="Times New Roman" w:cs="Times New Roman"/>
          <w:spacing w:val="-44"/>
        </w:rPr>
        <w:t xml:space="preserve"> </w:t>
      </w:r>
      <w:r>
        <w:rPr>
          <w:spacing w:val="11"/>
        </w:rPr>
        <w:t>市财政局审批</w:t>
      </w:r>
      <w:r>
        <w:rPr>
          <w:rFonts w:ascii="Times New Roman" w:hAnsi="Times New Roman" w:eastAsia="Times New Roman" w:cs="Times New Roman"/>
          <w:spacing w:val="11"/>
        </w:rPr>
        <w:t>→</w:t>
      </w:r>
      <w:r>
        <w:rPr>
          <w:rFonts w:ascii="Times New Roman" w:hAnsi="Times New Roman" w:eastAsia="Times New Roman" w:cs="Times New Roman"/>
          <w:spacing w:val="-43"/>
        </w:rPr>
        <w:t xml:space="preserve"> </w:t>
      </w:r>
      <w:r>
        <w:rPr>
          <w:spacing w:val="11"/>
        </w:rPr>
        <w:t>处置实施</w:t>
      </w:r>
      <w:r>
        <w:rPr>
          <w:rFonts w:ascii="Times New Roman" w:hAnsi="Times New Roman" w:eastAsia="Times New Roman" w:cs="Times New Roman"/>
          <w:spacing w:val="11"/>
        </w:rPr>
        <w:t>→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11"/>
        </w:rPr>
        <w:t>收入收</w:t>
      </w:r>
      <w:r>
        <w:t xml:space="preserve"> </w:t>
      </w:r>
      <w:r>
        <w:rPr>
          <w:spacing w:val="4"/>
        </w:rPr>
        <w:t>缴</w:t>
      </w:r>
      <w:r>
        <w:rPr>
          <w:rFonts w:ascii="Times New Roman" w:hAnsi="Times New Roman" w:eastAsia="Times New Roman" w:cs="Times New Roman"/>
          <w:spacing w:val="4"/>
        </w:rPr>
        <w:t>→</w:t>
      </w:r>
      <w:r>
        <w:rPr>
          <w:rFonts w:ascii="Times New Roman" w:hAnsi="Times New Roman" w:eastAsia="Times New Roman" w:cs="Times New Roman"/>
          <w:spacing w:val="-45"/>
        </w:rPr>
        <w:t xml:space="preserve"> </w:t>
      </w:r>
      <w:r>
        <w:rPr>
          <w:spacing w:val="4"/>
        </w:rPr>
        <w:t>系统核销。其中，市直党政机关和参公事业单位国有资产处</w:t>
      </w:r>
    </w:p>
    <w:p>
      <w:pPr>
        <w:pStyle w:val="2"/>
        <w:spacing w:before="1" w:line="222" w:lineRule="auto"/>
        <w:ind w:left="13"/>
      </w:pPr>
      <w:r>
        <w:rPr>
          <w:spacing w:val="8"/>
        </w:rPr>
        <w:t>置事项先由市机关事务管理局负责审核</w:t>
      </w:r>
      <w:r>
        <w:rPr>
          <w:spacing w:val="8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。</w:t>
      </w:r>
    </w:p>
    <w:p>
      <w:pPr>
        <w:spacing w:line="374" w:lineRule="auto"/>
        <w:rPr>
          <w:rFonts w:ascii="Arial"/>
          <w:sz w:val="21"/>
        </w:rPr>
      </w:pPr>
    </w:p>
    <w:p>
      <w:pPr>
        <w:spacing w:before="100" w:line="227" w:lineRule="auto"/>
        <w:ind w:left="31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第二章</w:t>
      </w:r>
      <w:r>
        <w:rPr>
          <w:rFonts w:ascii="黑体" w:hAnsi="黑体" w:eastAsia="黑体" w:cs="黑体"/>
          <w:spacing w:val="16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5"/>
          <w:sz w:val="31"/>
          <w:szCs w:val="31"/>
        </w:rPr>
        <w:t>单位申报</w:t>
      </w:r>
    </w:p>
    <w:p>
      <w:pPr>
        <w:pStyle w:val="2"/>
        <w:spacing w:before="314" w:line="322" w:lineRule="auto"/>
        <w:ind w:left="7" w:firstLine="653"/>
        <w:jc w:val="both"/>
      </w:pPr>
      <w:r>
        <w:rPr>
          <w:spacing w:val="10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第三条</w:t>
      </w:r>
      <w:r>
        <w:rPr>
          <w:spacing w:val="10"/>
        </w:rPr>
        <w:t xml:space="preserve"> 单位申报是指市级行政事业单位对产权清晰、符合 </w:t>
      </w:r>
      <w:r>
        <w:rPr>
          <w:spacing w:val="5"/>
        </w:rPr>
        <w:t>处置条件的待处置国有资产，由资产使用部门提出意见，资产管</w:t>
      </w:r>
      <w:r>
        <w:rPr>
          <w:spacing w:val="8"/>
        </w:rPr>
        <w:t xml:space="preserve"> </w:t>
      </w:r>
      <w:r>
        <w:rPr>
          <w:spacing w:val="5"/>
        </w:rPr>
        <w:t>理部门会同财务部门、技术部门审核鉴定，经单位领导审核同意</w:t>
      </w:r>
      <w:r>
        <w:rPr>
          <w:spacing w:val="8"/>
        </w:rPr>
        <w:t xml:space="preserve"> </w:t>
      </w:r>
      <w:r>
        <w:rPr>
          <w:spacing w:val="-2"/>
        </w:rPr>
        <w:t>后，向主管部门提交资产处置书面申请报告的行</w:t>
      </w:r>
      <w:r>
        <w:rPr>
          <w:spacing w:val="-3"/>
        </w:rPr>
        <w:t>为。其中，土地、</w:t>
      </w:r>
    </w:p>
    <w:p>
      <w:pPr>
        <w:pStyle w:val="2"/>
        <w:spacing w:before="1" w:line="219" w:lineRule="auto"/>
        <w:jc w:val="right"/>
      </w:pPr>
      <w:r>
        <w:rPr>
          <w:spacing w:val="7"/>
        </w:rPr>
        <w:t>房屋、车辆、大型设备等资产处置，应纳入单</w:t>
      </w:r>
      <w:r>
        <w:rPr>
          <w:spacing w:val="6"/>
        </w:rPr>
        <w:t>位集体决策范围。</w:t>
      </w:r>
    </w:p>
    <w:p>
      <w:pPr>
        <w:pStyle w:val="2"/>
        <w:spacing w:before="171" w:line="540" w:lineRule="exact"/>
        <w:ind w:left="660"/>
      </w:pPr>
      <w:r>
        <w:rPr>
          <w:spacing w:val="2"/>
          <w:position w:val="16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第四条</w:t>
      </w:r>
      <w:r>
        <w:rPr>
          <w:spacing w:val="2"/>
          <w:position w:val="16"/>
        </w:rPr>
        <w:t xml:space="preserve"> 行政事业单位在办理资产处置手续时， 应按规定提</w:t>
      </w:r>
    </w:p>
    <w:p>
      <w:pPr>
        <w:pStyle w:val="2"/>
        <w:spacing w:before="1" w:line="220" w:lineRule="auto"/>
        <w:ind w:left="14"/>
      </w:pPr>
      <w:r>
        <w:rPr>
          <w:spacing w:val="2"/>
        </w:rPr>
        <w:t>交正式申请文件（见附件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</w:t>
      </w:r>
      <w:r>
        <w:rPr>
          <w:spacing w:val="-52"/>
        </w:rPr>
        <w:t>），</w:t>
      </w:r>
      <w:r>
        <w:rPr>
          <w:spacing w:val="-4"/>
        </w:rPr>
        <w:t xml:space="preserve"> </w:t>
      </w:r>
      <w:r>
        <w:rPr>
          <w:spacing w:val="2"/>
        </w:rPr>
        <w:t>并附有关文件资料：</w:t>
      </w:r>
    </w:p>
    <w:p>
      <w:pPr>
        <w:spacing w:line="220" w:lineRule="auto"/>
        <w:sectPr>
          <w:headerReference r:id="rId6" w:type="default"/>
          <w:footerReference r:id="rId7" w:type="default"/>
          <w:pgSz w:w="11906" w:h="16838"/>
          <w:pgMar w:top="400" w:right="1377" w:bottom="1122" w:left="1595" w:header="0" w:footer="849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100" w:line="220" w:lineRule="auto"/>
        <w:ind w:left="637"/>
      </w:pPr>
      <w:r>
        <w:rPr>
          <w:spacing w:val="5"/>
        </w:rPr>
        <w:t>（一）市级行政事业单位国有资产处置申请表（见附件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2</w:t>
      </w:r>
      <w:r>
        <w:rPr>
          <w:spacing w:val="-61"/>
        </w:rPr>
        <w:t>）；</w:t>
      </w:r>
    </w:p>
    <w:p>
      <w:pPr>
        <w:pStyle w:val="2"/>
        <w:spacing w:before="170" w:line="222" w:lineRule="auto"/>
        <w:ind w:left="637"/>
      </w:pPr>
      <w:r>
        <w:rPr>
          <w:spacing w:val="6"/>
        </w:rPr>
        <w:t>（二）同意处置资产的内部决议或会议纪要；</w:t>
      </w:r>
    </w:p>
    <w:p>
      <w:pPr>
        <w:pStyle w:val="2"/>
        <w:spacing w:before="161" w:line="323" w:lineRule="auto"/>
        <w:ind w:left="32" w:right="90" w:firstLine="605"/>
      </w:pPr>
      <w:r>
        <w:rPr>
          <w:spacing w:val="-3"/>
        </w:rPr>
        <w:t>（三）资产有效价值凭证，如项目竣工决算副本、入账凭证、</w:t>
      </w:r>
      <w:r>
        <w:rPr>
          <w:spacing w:val="5"/>
        </w:rPr>
        <w:t xml:space="preserve"> </w:t>
      </w:r>
      <w:r>
        <w:rPr>
          <w:spacing w:val="8"/>
        </w:rPr>
        <w:t>固定资产卡片、财务明细分类账等凭据的复印件（加盖单位公</w:t>
      </w:r>
    </w:p>
    <w:p>
      <w:pPr>
        <w:pStyle w:val="2"/>
        <w:spacing w:before="1" w:line="222" w:lineRule="auto"/>
        <w:ind w:left="14"/>
      </w:pPr>
      <w:r>
        <w:rPr>
          <w:spacing w:val="-39"/>
          <w:w w:val="86"/>
        </w:rPr>
        <w:t>章</w:t>
      </w:r>
      <w:r>
        <w:t>）</w:t>
      </w:r>
      <w:r>
        <w:rPr>
          <w:spacing w:val="-87"/>
        </w:rPr>
        <w:t xml:space="preserve"> </w:t>
      </w:r>
      <w:r>
        <w:t>；</w:t>
      </w:r>
    </w:p>
    <w:p>
      <w:pPr>
        <w:pStyle w:val="2"/>
        <w:spacing w:before="166" w:line="537" w:lineRule="exact"/>
        <w:jc w:val="right"/>
      </w:pPr>
      <w:r>
        <w:rPr>
          <w:spacing w:val="-14"/>
          <w:position w:val="16"/>
        </w:rPr>
        <w:t>（四）资产产权证明，如不动产登记证（或房产证、土地证）、</w:t>
      </w:r>
    </w:p>
    <w:p>
      <w:pPr>
        <w:pStyle w:val="2"/>
        <w:spacing w:before="1" w:line="221" w:lineRule="auto"/>
        <w:jc w:val="right"/>
      </w:pPr>
      <w:r>
        <w:rPr>
          <w:spacing w:val="5"/>
        </w:rPr>
        <w:t>股权证、车辆登记证、行驶证等凭据的复印件（加盖单位公章</w:t>
      </w:r>
      <w:r>
        <w:rPr>
          <w:spacing w:val="-55"/>
        </w:rPr>
        <w:t>）；</w:t>
      </w:r>
    </w:p>
    <w:p>
      <w:pPr>
        <w:pStyle w:val="2"/>
        <w:spacing w:before="171" w:line="540" w:lineRule="exact"/>
        <w:ind w:left="637"/>
      </w:pPr>
      <w:r>
        <w:rPr>
          <w:spacing w:val="5"/>
          <w:position w:val="16"/>
        </w:rPr>
        <w:t>（五）涉及需要资产评估时应提交国有资产评估报告，包括</w:t>
      </w:r>
    </w:p>
    <w:p>
      <w:pPr>
        <w:pStyle w:val="2"/>
        <w:spacing w:line="220" w:lineRule="auto"/>
        <w:ind w:left="5"/>
      </w:pPr>
      <w:r>
        <w:rPr>
          <w:spacing w:val="3"/>
        </w:rPr>
        <w:t>评估报告、技术报告；</w:t>
      </w:r>
    </w:p>
    <w:p>
      <w:pPr>
        <w:pStyle w:val="2"/>
        <w:spacing w:before="171" w:line="221" w:lineRule="auto"/>
        <w:ind w:left="637"/>
      </w:pPr>
      <w:r>
        <w:rPr>
          <w:spacing w:val="3"/>
        </w:rPr>
        <w:t>（六）资产实物照片；</w:t>
      </w:r>
    </w:p>
    <w:p>
      <w:pPr>
        <w:pStyle w:val="2"/>
        <w:spacing w:before="169" w:line="220" w:lineRule="auto"/>
        <w:ind w:left="637"/>
      </w:pPr>
      <w:r>
        <w:rPr>
          <w:spacing w:val="4"/>
        </w:rPr>
        <w:t>（七）其他相关材料。</w:t>
      </w:r>
    </w:p>
    <w:p>
      <w:pPr>
        <w:pStyle w:val="2"/>
        <w:spacing w:before="168" w:line="322" w:lineRule="auto"/>
        <w:ind w:left="10" w:right="185" w:firstLine="651"/>
      </w:pPr>
      <w:r>
        <w:rPr>
          <w:spacing w:val="8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第五条</w:t>
      </w:r>
      <w:r>
        <w:rPr>
          <w:spacing w:val="8"/>
        </w:rPr>
        <w:t xml:space="preserve"> 单位申报处置事项时，应对处置事项</w:t>
      </w:r>
      <w:r>
        <w:rPr>
          <w:spacing w:val="7"/>
        </w:rPr>
        <w:t>的合法性、必</w:t>
      </w:r>
      <w:r>
        <w:t xml:space="preserve"> </w:t>
      </w:r>
      <w:r>
        <w:rPr>
          <w:spacing w:val="5"/>
        </w:rPr>
        <w:t>要性、可行性，处置依据是否充分，审批权限是否恰当；处置资</w:t>
      </w:r>
      <w:r>
        <w:rPr>
          <w:spacing w:val="7"/>
        </w:rPr>
        <w:t xml:space="preserve"> </w:t>
      </w:r>
      <w:r>
        <w:rPr>
          <w:spacing w:val="5"/>
        </w:rPr>
        <w:t>料的客观性、真实性、完整性，重大事项是否经单位领导集体决</w:t>
      </w:r>
    </w:p>
    <w:p>
      <w:pPr>
        <w:pStyle w:val="2"/>
        <w:spacing w:line="220" w:lineRule="auto"/>
        <w:ind w:left="12"/>
      </w:pPr>
      <w:r>
        <w:rPr>
          <w:spacing w:val="-1"/>
        </w:rPr>
        <w:t>策， 产权资料、财务资料是否明晰等进行内部审核。</w:t>
      </w:r>
    </w:p>
    <w:p>
      <w:pPr>
        <w:pStyle w:val="2"/>
        <w:spacing w:before="170" w:line="222" w:lineRule="auto"/>
        <w:ind w:left="693"/>
      </w:pPr>
      <w:r>
        <w:rPr>
          <w:spacing w:val="1"/>
        </w:rPr>
        <w:t>申报要点具体包括但不限于：</w:t>
      </w:r>
    </w:p>
    <w:p>
      <w:pPr>
        <w:pStyle w:val="2"/>
        <w:spacing w:before="168" w:line="220" w:lineRule="auto"/>
        <w:ind w:left="637"/>
      </w:pPr>
      <w:r>
        <w:rPr>
          <w:spacing w:val="7"/>
        </w:rPr>
        <w:t>（一）资产权属和账务是否清晰、权证是否齐全；</w:t>
      </w:r>
    </w:p>
    <w:p>
      <w:pPr>
        <w:pStyle w:val="2"/>
        <w:spacing w:before="170" w:line="540" w:lineRule="exact"/>
        <w:ind w:left="637"/>
      </w:pPr>
      <w:r>
        <w:rPr>
          <w:spacing w:val="5"/>
          <w:position w:val="16"/>
        </w:rPr>
        <w:t>（二）按规定需资产评估的处置事项，是否组织相应资质评</w:t>
      </w:r>
    </w:p>
    <w:p>
      <w:pPr>
        <w:pStyle w:val="2"/>
        <w:spacing w:before="1" w:line="220" w:lineRule="auto"/>
        <w:ind w:left="7"/>
      </w:pPr>
      <w:r>
        <w:rPr>
          <w:spacing w:val="4"/>
        </w:rPr>
        <w:t>估机构进行评估并出具报告；</w:t>
      </w:r>
    </w:p>
    <w:p>
      <w:pPr>
        <w:pStyle w:val="2"/>
        <w:spacing w:before="170" w:line="540" w:lineRule="exact"/>
        <w:ind w:left="637"/>
      </w:pPr>
      <w:r>
        <w:rPr>
          <w:spacing w:val="5"/>
          <w:position w:val="16"/>
        </w:rPr>
        <w:t>（三）资产报废或拆除的处置事项，最低使用年限要求是否</w:t>
      </w:r>
    </w:p>
    <w:p>
      <w:pPr>
        <w:pStyle w:val="2"/>
        <w:spacing w:line="221" w:lineRule="auto"/>
        <w:ind w:left="18"/>
      </w:pPr>
      <w:r>
        <w:rPr>
          <w:spacing w:val="6"/>
        </w:rPr>
        <w:t>满足；是否进行技术鉴定；</w:t>
      </w:r>
    </w:p>
    <w:p>
      <w:pPr>
        <w:pStyle w:val="2"/>
        <w:spacing w:before="166" w:line="543" w:lineRule="exact"/>
        <w:ind w:left="637"/>
      </w:pPr>
      <w:r>
        <w:rPr>
          <w:spacing w:val="9"/>
          <w:position w:val="17"/>
        </w:rPr>
        <w:t>（四）资产无偿划转、对外捐赠、转让、置换的处置事项，</w:t>
      </w:r>
    </w:p>
    <w:p>
      <w:pPr>
        <w:pStyle w:val="2"/>
        <w:spacing w:line="220" w:lineRule="auto"/>
      </w:pPr>
      <w:r>
        <w:rPr>
          <w:spacing w:val="5"/>
        </w:rPr>
        <w:t>是否必要可行，并经单位集体决策；涉及房地产拆迁的，是否为</w:t>
      </w:r>
    </w:p>
    <w:p>
      <w:pPr>
        <w:spacing w:line="220" w:lineRule="auto"/>
        <w:sectPr>
          <w:footerReference r:id="rId8" w:type="default"/>
          <w:pgSz w:w="11906" w:h="16838"/>
          <w:pgMar w:top="400" w:right="1287" w:bottom="1122" w:left="1593" w:header="0" w:footer="846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101" w:line="540" w:lineRule="exact"/>
        <w:jc w:val="right"/>
      </w:pPr>
      <w:r>
        <w:rPr>
          <w:spacing w:val="-3"/>
          <w:position w:val="16"/>
        </w:rPr>
        <w:t>政府行为；资产置换是否必须且符合配置标准、有</w:t>
      </w:r>
      <w:r>
        <w:rPr>
          <w:spacing w:val="-4"/>
          <w:position w:val="16"/>
        </w:rPr>
        <w:t>利于事业发展；</w:t>
      </w:r>
    </w:p>
    <w:p>
      <w:pPr>
        <w:pStyle w:val="2"/>
        <w:spacing w:before="1" w:line="218" w:lineRule="auto"/>
        <w:ind w:left="17"/>
      </w:pPr>
      <w:r>
        <w:rPr>
          <w:spacing w:val="1"/>
        </w:rPr>
        <w:t>资产转让价格是否公允、合理；</w:t>
      </w:r>
    </w:p>
    <w:p>
      <w:pPr>
        <w:pStyle w:val="2"/>
        <w:spacing w:before="171" w:line="322" w:lineRule="auto"/>
        <w:ind w:left="16" w:right="45" w:firstLine="620"/>
      </w:pPr>
      <w:r>
        <w:rPr>
          <w:spacing w:val="5"/>
        </w:rPr>
        <w:t>（五）因单位撤销、合并、分立改制而移交划转国有资产的</w:t>
      </w:r>
      <w:r>
        <w:rPr>
          <w:spacing w:val="6"/>
        </w:rPr>
        <w:t xml:space="preserve"> </w:t>
      </w:r>
      <w:r>
        <w:rPr>
          <w:spacing w:val="1"/>
        </w:rPr>
        <w:t>处置事项， 机构调整批文是否具备，单位职工</w:t>
      </w:r>
      <w:r>
        <w:t>是否已妥善安置，</w:t>
      </w:r>
    </w:p>
    <w:p>
      <w:pPr>
        <w:pStyle w:val="2"/>
        <w:spacing w:line="221" w:lineRule="auto"/>
        <w:ind w:left="11"/>
      </w:pPr>
      <w:r>
        <w:rPr>
          <w:spacing w:val="7"/>
        </w:rPr>
        <w:t>单位清产核资报告是否完成，单位财务报告是否已</w:t>
      </w:r>
      <w:r>
        <w:rPr>
          <w:spacing w:val="6"/>
        </w:rPr>
        <w:t>审计；</w:t>
      </w:r>
    </w:p>
    <w:p>
      <w:pPr>
        <w:pStyle w:val="2"/>
        <w:spacing w:before="168" w:line="540" w:lineRule="exact"/>
        <w:jc w:val="right"/>
      </w:pPr>
      <w:r>
        <w:rPr>
          <w:spacing w:val="-3"/>
          <w:position w:val="16"/>
        </w:rPr>
        <w:t>（六）资产报损的处置事项，相关职能部门</w:t>
      </w:r>
      <w:r>
        <w:rPr>
          <w:spacing w:val="-4"/>
          <w:position w:val="16"/>
        </w:rPr>
        <w:t>是否有证明文件，</w:t>
      </w:r>
    </w:p>
    <w:p>
      <w:pPr>
        <w:pStyle w:val="2"/>
        <w:spacing w:line="221" w:lineRule="auto"/>
        <w:ind w:left="17"/>
      </w:pPr>
      <w:r>
        <w:t>盘亏或损失的国有资产是否单位公示， 是否认定赔偿责任。</w:t>
      </w:r>
    </w:p>
    <w:p>
      <w:pPr>
        <w:pStyle w:val="2"/>
        <w:spacing w:before="165" w:line="322" w:lineRule="auto"/>
        <w:ind w:left="3" w:right="31" w:firstLine="657"/>
      </w:pPr>
      <w:r>
        <w:rPr>
          <w:spacing w:val="2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第六条</w:t>
      </w:r>
      <w:r>
        <w:rPr>
          <w:spacing w:val="2"/>
        </w:rPr>
        <w:t xml:space="preserve"> 下达处置批复文件前， 市直单位应当在单位公示栏</w:t>
      </w:r>
      <w:r>
        <w:rPr>
          <w:spacing w:val="17"/>
        </w:rPr>
        <w:t xml:space="preserve"> </w:t>
      </w:r>
      <w:r>
        <w:rPr>
          <w:spacing w:val="7"/>
        </w:rPr>
        <w:t>进行公示。公示内容主要包括资产状况、处置依据、处置原因、</w:t>
      </w:r>
      <w:r>
        <w:rPr>
          <w:spacing w:val="6"/>
        </w:rPr>
        <w:t xml:space="preserve"> </w:t>
      </w:r>
      <w:r>
        <w:rPr>
          <w:spacing w:val="4"/>
        </w:rPr>
        <w:t>处置方式等。公示时间不低于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3 </w:t>
      </w:r>
      <w:r>
        <w:rPr>
          <w:spacing w:val="4"/>
        </w:rPr>
        <w:t>个工作日。其中，涉及土地资产</w:t>
      </w:r>
      <w:r>
        <w:t xml:space="preserve"> </w:t>
      </w:r>
      <w:r>
        <w:rPr>
          <w:spacing w:val="5"/>
        </w:rPr>
        <w:t>处置等重大事项的，还应在单位门户网站（单位未设立门户网站</w:t>
      </w:r>
      <w:r>
        <w:rPr>
          <w:spacing w:val="12"/>
        </w:rPr>
        <w:t xml:space="preserve"> </w:t>
      </w:r>
      <w:r>
        <w:rPr>
          <w:spacing w:val="5"/>
        </w:rPr>
        <w:t>的，可在主管部门门户网站）公示。涉密资产以及符合国家有关</w:t>
      </w:r>
    </w:p>
    <w:p>
      <w:pPr>
        <w:pStyle w:val="2"/>
        <w:spacing w:line="221" w:lineRule="auto"/>
        <w:ind w:left="13"/>
      </w:pPr>
      <w:r>
        <w:rPr>
          <w:spacing w:val="6"/>
        </w:rPr>
        <w:t>规定不宜公开的处置事项，可不进行公示。</w:t>
      </w:r>
    </w:p>
    <w:p>
      <w:pPr>
        <w:pStyle w:val="2"/>
        <w:spacing w:before="164" w:line="322" w:lineRule="auto"/>
        <w:ind w:left="1" w:right="81" w:firstLine="659"/>
      </w:pPr>
      <w:r>
        <w:rPr>
          <w:spacing w:val="4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第七条</w:t>
      </w:r>
      <w:r>
        <w:rPr>
          <w:spacing w:val="4"/>
        </w:rPr>
        <w:t xml:space="preserve">  属于已达使用年限并且无法继续正常使用的，或因 </w:t>
      </w:r>
      <w:r>
        <w:rPr>
          <w:spacing w:val="5"/>
        </w:rPr>
        <w:t>规定技术指标无法使用、使用成本过高等需要提前报废的，还需</w:t>
      </w:r>
      <w:r>
        <w:rPr>
          <w:spacing w:val="12"/>
        </w:rPr>
        <w:t xml:space="preserve"> </w:t>
      </w:r>
      <w:r>
        <w:rPr>
          <w:spacing w:val="5"/>
        </w:rPr>
        <w:t>提供相关技术鉴定部门的鉴定意见。国家或行业对资产报废有技</w:t>
      </w:r>
      <w:r>
        <w:rPr>
          <w:spacing w:val="14"/>
        </w:rPr>
        <w:t xml:space="preserve"> </w:t>
      </w:r>
      <w:r>
        <w:rPr>
          <w:spacing w:val="5"/>
        </w:rPr>
        <w:t>术要求的，应当由具备相应资质的专业机构进行技术鉴定。如房</w:t>
      </w:r>
      <w:r>
        <w:rPr>
          <w:spacing w:val="12"/>
        </w:rPr>
        <w:t xml:space="preserve"> </w:t>
      </w:r>
      <w:r>
        <w:rPr>
          <w:spacing w:val="9"/>
        </w:rPr>
        <w:t>屋拆除应提供危房鉴定报告、车辆报废应提供机动车辆检测报</w:t>
      </w:r>
      <w:r>
        <w:rPr>
          <w:spacing w:val="7"/>
        </w:rPr>
        <w:t xml:space="preserve">  </w:t>
      </w:r>
      <w:r>
        <w:rPr>
          <w:spacing w:val="5"/>
        </w:rPr>
        <w:t>告、电梯报废应提供安全检测意见等。暂未规定的，应当经单位</w:t>
      </w:r>
    </w:p>
    <w:p>
      <w:pPr>
        <w:pStyle w:val="2"/>
        <w:spacing w:before="2" w:line="221" w:lineRule="auto"/>
        <w:ind w:left="48"/>
      </w:pPr>
      <w:r>
        <w:rPr>
          <w:spacing w:val="6"/>
        </w:rPr>
        <w:t>内部有关技术部门和资产管理部门鉴定。</w:t>
      </w:r>
    </w:p>
    <w:p>
      <w:pPr>
        <w:spacing w:line="375" w:lineRule="auto"/>
        <w:rPr>
          <w:rFonts w:ascii="Arial"/>
          <w:sz w:val="21"/>
        </w:rPr>
      </w:pPr>
    </w:p>
    <w:p>
      <w:pPr>
        <w:spacing w:before="101" w:line="227" w:lineRule="auto"/>
        <w:ind w:left="218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第三章  主管部门审核（审批）</w:t>
      </w:r>
    </w:p>
    <w:p>
      <w:pPr>
        <w:pStyle w:val="2"/>
        <w:spacing w:before="315" w:line="220" w:lineRule="auto"/>
        <w:ind w:left="660"/>
      </w:pPr>
      <w:r>
        <w:rPr>
          <w:spacing w:val="2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第八条</w:t>
      </w:r>
      <w:r>
        <w:rPr>
          <w:spacing w:val="2"/>
        </w:rPr>
        <w:t xml:space="preserve"> 主管部门在收到单位申报的资产处置报告后， 应按</w:t>
      </w:r>
    </w:p>
    <w:p>
      <w:pPr>
        <w:spacing w:line="220" w:lineRule="auto"/>
        <w:sectPr>
          <w:footerReference r:id="rId9" w:type="default"/>
          <w:pgSz w:w="11906" w:h="16838"/>
          <w:pgMar w:top="400" w:right="1391" w:bottom="1122" w:left="1595" w:header="0" w:footer="849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101" w:line="221" w:lineRule="auto"/>
        <w:ind w:left="15"/>
      </w:pPr>
      <w:r>
        <w:rPr>
          <w:spacing w:val="3"/>
        </w:rPr>
        <w:t>规定进行审核，审核的重点为：</w:t>
      </w:r>
    </w:p>
    <w:p>
      <w:pPr>
        <w:pStyle w:val="2"/>
        <w:spacing w:before="166" w:line="322" w:lineRule="auto"/>
        <w:ind w:right="81" w:firstLine="638"/>
        <w:jc w:val="both"/>
      </w:pPr>
      <w:r>
        <w:rPr>
          <w:spacing w:val="5"/>
        </w:rPr>
        <w:t>（一）处置资料的真实性、完整性、有效性。如申报单位提</w:t>
      </w:r>
      <w:r>
        <w:rPr>
          <w:spacing w:val="9"/>
        </w:rPr>
        <w:t xml:space="preserve"> </w:t>
      </w:r>
      <w:r>
        <w:rPr>
          <w:spacing w:val="5"/>
        </w:rPr>
        <w:t>供的各种证明和资料是否要件齐备、真实有效，有无填写错误或</w:t>
      </w:r>
      <w:r>
        <w:rPr>
          <w:spacing w:val="16"/>
        </w:rPr>
        <w:t xml:space="preserve"> </w:t>
      </w:r>
      <w:r>
        <w:rPr>
          <w:spacing w:val="5"/>
        </w:rPr>
        <w:t>者缺项；权属来源是否清晰；资产价值的有效凭证是否真实、完</w:t>
      </w:r>
    </w:p>
    <w:p>
      <w:pPr>
        <w:pStyle w:val="2"/>
        <w:spacing w:line="221" w:lineRule="auto"/>
        <w:ind w:left="11"/>
      </w:pPr>
      <w:r>
        <w:rPr>
          <w:spacing w:val="-5"/>
        </w:rPr>
        <w:t>整； 单位决策是否合规等；</w:t>
      </w:r>
    </w:p>
    <w:p>
      <w:pPr>
        <w:pStyle w:val="2"/>
        <w:spacing w:before="166" w:line="322" w:lineRule="auto"/>
        <w:ind w:left="7" w:right="81" w:firstLine="631"/>
        <w:jc w:val="both"/>
      </w:pPr>
      <w:r>
        <w:rPr>
          <w:spacing w:val="5"/>
        </w:rPr>
        <w:t>（二）处置事项的科学性、合法性、可行性。如处置方案是</w:t>
      </w:r>
      <w:r>
        <w:rPr>
          <w:spacing w:val="9"/>
        </w:rPr>
        <w:t xml:space="preserve"> </w:t>
      </w:r>
      <w:r>
        <w:rPr>
          <w:spacing w:val="5"/>
        </w:rPr>
        <w:t>否符合相关政策法规规定，涉及土地资产处置等重大事项是否有</w:t>
      </w:r>
      <w:r>
        <w:rPr>
          <w:spacing w:val="8"/>
        </w:rPr>
        <w:t xml:space="preserve"> </w:t>
      </w:r>
      <w:r>
        <w:rPr>
          <w:spacing w:val="3"/>
        </w:rPr>
        <w:t>政策依据； 逻辑上是否科学合理且具有可操作性；</w:t>
      </w:r>
      <w:r>
        <w:rPr>
          <w:spacing w:val="2"/>
        </w:rPr>
        <w:t>是否符合</w:t>
      </w:r>
      <w:r>
        <w:rPr>
          <w:rFonts w:ascii="Times New Roman" w:hAnsi="Times New Roman" w:eastAsia="Times New Roman" w:cs="Times New Roman"/>
          <w:spacing w:val="2"/>
        </w:rPr>
        <w:t>“</w:t>
      </w:r>
      <w:r>
        <w:rPr>
          <w:rFonts w:ascii="Times New Roman" w:hAnsi="Times New Roman" w:eastAsia="Times New Roman" w:cs="Times New Roman"/>
          <w:spacing w:val="-55"/>
        </w:rPr>
        <w:t xml:space="preserve"> </w:t>
      </w:r>
      <w:r>
        <w:rPr>
          <w:spacing w:val="2"/>
        </w:rPr>
        <w:t>勤</w:t>
      </w:r>
      <w:r>
        <w:t xml:space="preserve"> </w:t>
      </w:r>
      <w:r>
        <w:rPr>
          <w:spacing w:val="5"/>
        </w:rPr>
        <w:t>俭节约</w:t>
      </w:r>
      <w:r>
        <w:rPr>
          <w:rFonts w:ascii="Times New Roman" w:hAnsi="Times New Roman" w:eastAsia="Times New Roman" w:cs="Times New Roman"/>
          <w:spacing w:val="5"/>
        </w:rPr>
        <w:t>”“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5"/>
        </w:rPr>
        <w:t>与资产配置、使用相结合</w:t>
      </w:r>
      <w:r>
        <w:rPr>
          <w:rFonts w:ascii="Times New Roman" w:hAnsi="Times New Roman" w:eastAsia="Times New Roman" w:cs="Times New Roman"/>
          <w:spacing w:val="5"/>
        </w:rPr>
        <w:t>”“</w:t>
      </w:r>
      <w:r>
        <w:rPr>
          <w:rFonts w:ascii="Times New Roman" w:hAnsi="Times New Roman" w:eastAsia="Times New Roman" w:cs="Times New Roman"/>
          <w:spacing w:val="-45"/>
        </w:rPr>
        <w:t xml:space="preserve"> </w:t>
      </w:r>
      <w:r>
        <w:rPr>
          <w:spacing w:val="5"/>
        </w:rPr>
        <w:t>与事业发展相匹配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rFonts w:ascii="Times New Roman" w:hAnsi="Times New Roman" w:eastAsia="Times New Roman" w:cs="Times New Roman"/>
          <w:spacing w:val="-49"/>
        </w:rPr>
        <w:t xml:space="preserve"> </w:t>
      </w:r>
      <w:r>
        <w:rPr>
          <w:spacing w:val="5"/>
        </w:rPr>
        <w:t>等处置</w:t>
      </w:r>
    </w:p>
    <w:p>
      <w:pPr>
        <w:pStyle w:val="2"/>
        <w:spacing w:line="220" w:lineRule="auto"/>
        <w:ind w:left="14"/>
      </w:pPr>
      <w:r>
        <w:rPr>
          <w:spacing w:val="8"/>
        </w:rPr>
        <w:t>原则；资产评估报告的格式及内容是否规范、合理等。</w:t>
      </w:r>
    </w:p>
    <w:p>
      <w:pPr>
        <w:pStyle w:val="2"/>
        <w:spacing w:before="168" w:line="322" w:lineRule="auto"/>
        <w:ind w:left="15" w:right="84" w:firstLine="647"/>
        <w:jc w:val="both"/>
      </w:pPr>
      <w:r>
        <w:rPr>
          <w:spacing w:val="2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第九条</w:t>
      </w:r>
      <w:r>
        <w:rPr>
          <w:spacing w:val="2"/>
        </w:rPr>
        <w:t xml:space="preserve"> 主管部门按规定审核后， 按照审批权限及时批复申</w:t>
      </w:r>
      <w:r>
        <w:rPr>
          <w:spacing w:val="17"/>
        </w:rPr>
        <w:t xml:space="preserve"> </w:t>
      </w:r>
      <w:r>
        <w:rPr>
          <w:spacing w:val="10"/>
        </w:rPr>
        <w:t>报单位</w:t>
      </w:r>
      <w:r>
        <w:rPr>
          <w:rFonts w:ascii="Times New Roman" w:hAnsi="Times New Roman" w:eastAsia="Times New Roman" w:cs="Times New Roman"/>
          <w:spacing w:val="10"/>
        </w:rPr>
        <w:t>(</w:t>
      </w:r>
      <w:r>
        <w:rPr>
          <w:spacing w:val="10"/>
        </w:rPr>
        <w:t>见附件</w:t>
      </w:r>
      <w:r>
        <w:rPr>
          <w:rFonts w:ascii="Times New Roman" w:hAnsi="Times New Roman" w:eastAsia="Times New Roman" w:cs="Times New Roman"/>
          <w:spacing w:val="10"/>
        </w:rPr>
        <w:t>5)</w:t>
      </w:r>
      <w:r>
        <w:rPr>
          <w:spacing w:val="10"/>
        </w:rPr>
        <w:t>或向市财政局提交资产处置正式申请</w:t>
      </w:r>
      <w:r>
        <w:rPr>
          <w:spacing w:val="9"/>
        </w:rPr>
        <w:t>文件</w:t>
      </w:r>
      <w:r>
        <w:rPr>
          <w:rFonts w:ascii="Times New Roman" w:hAnsi="Times New Roman" w:eastAsia="Times New Roman" w:cs="Times New Roman"/>
          <w:spacing w:val="9"/>
        </w:rPr>
        <w:t>(</w:t>
      </w:r>
      <w:r>
        <w:rPr>
          <w:spacing w:val="9"/>
        </w:rPr>
        <w:t>见附</w:t>
      </w:r>
    </w:p>
    <w:p>
      <w:pPr>
        <w:pStyle w:val="2"/>
        <w:spacing w:line="217" w:lineRule="auto"/>
        <w:ind w:left="2"/>
      </w:pPr>
      <w:r>
        <w:rPr>
          <w:spacing w:val="7"/>
        </w:rPr>
        <w:t>件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3)</w:t>
      </w:r>
      <w:r>
        <w:rPr>
          <w:spacing w:val="7"/>
        </w:rPr>
        <w:t>，并附经主管部门审核的上述相关资料。</w:t>
      </w:r>
    </w:p>
    <w:p>
      <w:pPr>
        <w:pStyle w:val="2"/>
        <w:spacing w:before="174" w:line="322" w:lineRule="auto"/>
        <w:ind w:left="19" w:right="83" w:firstLine="643"/>
        <w:jc w:val="both"/>
      </w:pPr>
      <w:r>
        <w:rPr>
          <w:spacing w:val="9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第十条</w:t>
      </w:r>
      <w:r>
        <w:rPr>
          <w:spacing w:val="9"/>
        </w:rPr>
        <w:t xml:space="preserve"> 市级主管部门按照规定权限审批处置资</w:t>
      </w:r>
      <w:r>
        <w:rPr>
          <w:spacing w:val="8"/>
        </w:rPr>
        <w:t>产，将审批</w:t>
      </w:r>
      <w:r>
        <w:t xml:space="preserve"> </w:t>
      </w:r>
      <w:r>
        <w:rPr>
          <w:spacing w:val="5"/>
        </w:rPr>
        <w:t>文件及时抄送市财政局备案，并于次年将处置情况汇总</w:t>
      </w:r>
      <w:r>
        <w:rPr>
          <w:spacing w:val="4"/>
        </w:rPr>
        <w:t>上报市财</w:t>
      </w:r>
    </w:p>
    <w:p>
      <w:pPr>
        <w:pStyle w:val="2"/>
        <w:spacing w:line="223" w:lineRule="auto"/>
        <w:ind w:left="12"/>
      </w:pPr>
      <w:r>
        <w:t>政局。</w:t>
      </w:r>
    </w:p>
    <w:p>
      <w:pPr>
        <w:spacing w:line="372" w:lineRule="auto"/>
        <w:rPr>
          <w:rFonts w:ascii="Arial"/>
          <w:sz w:val="21"/>
        </w:rPr>
      </w:pPr>
    </w:p>
    <w:p>
      <w:pPr>
        <w:spacing w:before="102" w:line="227" w:lineRule="auto"/>
        <w:ind w:left="226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第四章 财政部门审核（审批）</w:t>
      </w:r>
    </w:p>
    <w:p>
      <w:pPr>
        <w:pStyle w:val="2"/>
        <w:spacing w:before="313" w:line="322" w:lineRule="auto"/>
        <w:ind w:firstLine="662"/>
        <w:jc w:val="both"/>
      </w:pPr>
      <w:r>
        <w:rPr>
          <w:spacing w:val="8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第十一条</w:t>
      </w:r>
      <w:r>
        <w:rPr>
          <w:spacing w:val="8"/>
        </w:rPr>
        <w:t xml:space="preserve"> 市财政局对收到的申报材料进行审查，主要审查 </w:t>
      </w:r>
      <w:r>
        <w:rPr>
          <w:spacing w:val="5"/>
        </w:rPr>
        <w:t>申报处置资料的完整性、处置事项的必要性、可行性。处置行为</w:t>
      </w:r>
      <w:r>
        <w:rPr>
          <w:spacing w:val="15"/>
        </w:rPr>
        <w:t xml:space="preserve"> </w:t>
      </w:r>
      <w:r>
        <w:rPr>
          <w:spacing w:val="-3"/>
        </w:rPr>
        <w:t>是否必要且合理、是否符合国家有关规定；是否按规定权限审批，</w:t>
      </w:r>
      <w:r>
        <w:rPr>
          <w:spacing w:val="16"/>
        </w:rPr>
        <w:t xml:space="preserve"> </w:t>
      </w:r>
      <w:r>
        <w:rPr>
          <w:spacing w:val="5"/>
        </w:rPr>
        <w:t>重大处置事项是否为单位领导集体决策；处置资产的权属关系是</w:t>
      </w:r>
    </w:p>
    <w:p>
      <w:pPr>
        <w:pStyle w:val="2"/>
        <w:spacing w:before="1" w:line="220" w:lineRule="auto"/>
        <w:ind w:left="18"/>
      </w:pPr>
      <w:r>
        <w:rPr>
          <w:spacing w:val="6"/>
        </w:rPr>
        <w:t>否清晰、账务是否明确等。</w:t>
      </w:r>
    </w:p>
    <w:p>
      <w:pPr>
        <w:spacing w:line="220" w:lineRule="auto"/>
        <w:sectPr>
          <w:footerReference r:id="rId10" w:type="default"/>
          <w:pgSz w:w="11906" w:h="16838"/>
          <w:pgMar w:top="400" w:right="1391" w:bottom="1117" w:left="1592" w:header="0" w:footer="846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101" w:line="543" w:lineRule="exact"/>
        <w:ind w:left="660"/>
      </w:pPr>
      <w:r>
        <w:rPr>
          <w:spacing w:val="1"/>
          <w:position w:val="16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第十二条</w:t>
      </w:r>
      <w:r>
        <w:rPr>
          <w:spacing w:val="1"/>
          <w:position w:val="16"/>
        </w:rPr>
        <w:t xml:space="preserve"> 必要时， 市财政局可对处置事项进行现场察</w:t>
      </w:r>
      <w:r>
        <w:rPr>
          <w:position w:val="16"/>
        </w:rPr>
        <w:t>看，</w:t>
      </w:r>
    </w:p>
    <w:p>
      <w:pPr>
        <w:pStyle w:val="2"/>
        <w:spacing w:line="221" w:lineRule="auto"/>
        <w:ind w:left="10"/>
      </w:pPr>
      <w:r>
        <w:rPr>
          <w:spacing w:val="6"/>
        </w:rPr>
        <w:t>也可视情况委托会计师事务所等中介机构进行审计。</w:t>
      </w:r>
    </w:p>
    <w:p>
      <w:pPr>
        <w:pStyle w:val="2"/>
        <w:spacing w:before="168" w:line="540" w:lineRule="exact"/>
        <w:ind w:right="47"/>
        <w:jc w:val="right"/>
      </w:pPr>
      <w:r>
        <w:rPr>
          <w:spacing w:val="4"/>
          <w:position w:val="16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第十三条</w:t>
      </w:r>
      <w:r>
        <w:rPr>
          <w:spacing w:val="4"/>
          <w:position w:val="16"/>
        </w:rPr>
        <w:t xml:space="preserve"> 经市财政局审批后，由申报单位按批复组织实施。</w:t>
      </w:r>
    </w:p>
    <w:p>
      <w:pPr>
        <w:pStyle w:val="2"/>
        <w:spacing w:line="221" w:lineRule="auto"/>
        <w:ind w:left="17"/>
      </w:pPr>
      <w:r>
        <w:rPr>
          <w:spacing w:val="7"/>
        </w:rPr>
        <w:t>市财政局的批复文件主送市级主管部门，抄送申报单位。</w:t>
      </w:r>
    </w:p>
    <w:p>
      <w:pPr>
        <w:pStyle w:val="2"/>
        <w:spacing w:before="167" w:line="322" w:lineRule="auto"/>
        <w:ind w:left="16" w:right="199" w:firstLine="644"/>
      </w:pPr>
      <w:r>
        <w:rPr>
          <w:spacing w:val="9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第十四条</w:t>
      </w:r>
      <w:r>
        <w:rPr>
          <w:spacing w:val="9"/>
        </w:rPr>
        <w:t xml:space="preserve"> 市财政局应当加强对各市直主管部门</w:t>
      </w:r>
      <w:r>
        <w:rPr>
          <w:spacing w:val="8"/>
        </w:rPr>
        <w:t>和单位资产</w:t>
      </w:r>
      <w:r>
        <w:t xml:space="preserve"> </w:t>
      </w:r>
      <w:r>
        <w:rPr>
          <w:spacing w:val="5"/>
        </w:rPr>
        <w:t>处置情况事后监督，组织开展专项检查。单位要自觉接受</w:t>
      </w:r>
      <w:r>
        <w:rPr>
          <w:spacing w:val="4"/>
        </w:rPr>
        <w:t>和配合</w:t>
      </w:r>
    </w:p>
    <w:p>
      <w:pPr>
        <w:pStyle w:val="2"/>
        <w:spacing w:line="220" w:lineRule="auto"/>
        <w:ind w:left="17"/>
      </w:pPr>
      <w:r>
        <w:rPr>
          <w:spacing w:val="5"/>
        </w:rPr>
        <w:t>市财政局、主管部门的监督检查工作。</w:t>
      </w:r>
    </w:p>
    <w:p>
      <w:pPr>
        <w:spacing w:line="377" w:lineRule="auto"/>
        <w:rPr>
          <w:rFonts w:ascii="Arial"/>
          <w:sz w:val="21"/>
        </w:rPr>
      </w:pPr>
    </w:p>
    <w:p>
      <w:pPr>
        <w:spacing w:before="101" w:line="227" w:lineRule="auto"/>
        <w:ind w:left="28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第五章  资产处置实施</w:t>
      </w:r>
    </w:p>
    <w:p>
      <w:pPr>
        <w:pStyle w:val="2"/>
        <w:spacing w:before="315" w:line="322" w:lineRule="auto"/>
        <w:ind w:left="18" w:right="101" w:firstLine="642"/>
        <w:jc w:val="both"/>
      </w:pPr>
      <w:r>
        <w:rPr>
          <w:spacing w:val="3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第十五条</w:t>
      </w:r>
      <w:r>
        <w:rPr>
          <w:spacing w:val="3"/>
        </w:rPr>
        <w:t xml:space="preserve"> 行政事业单位接到主管部门、 </w:t>
      </w:r>
      <w:r>
        <w:rPr>
          <w:spacing w:val="2"/>
        </w:rPr>
        <w:t xml:space="preserve">市财政局的处置批 </w:t>
      </w:r>
      <w:r>
        <w:rPr>
          <w:spacing w:val="-3"/>
        </w:rPr>
        <w:t>复后，经批准由本单位组织处置的资产，由本单位资产管理部门、</w:t>
      </w:r>
    </w:p>
    <w:p>
      <w:pPr>
        <w:pStyle w:val="2"/>
        <w:spacing w:before="1" w:line="221" w:lineRule="auto"/>
        <w:ind w:left="7"/>
      </w:pPr>
      <w:r>
        <w:rPr>
          <w:spacing w:val="7"/>
        </w:rPr>
        <w:t>财务部门、审计监察部门按公开、公平、公正的原则处理。</w:t>
      </w:r>
    </w:p>
    <w:p>
      <w:pPr>
        <w:pStyle w:val="2"/>
        <w:spacing w:before="166" w:line="322" w:lineRule="auto"/>
        <w:ind w:left="22" w:right="134" w:firstLine="638"/>
        <w:jc w:val="both"/>
      </w:pPr>
      <w:r>
        <w:rPr>
          <w:spacing w:val="10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第十六条</w:t>
      </w:r>
      <w:r>
        <w:rPr>
          <w:spacing w:val="10"/>
        </w:rPr>
        <w:t xml:space="preserve"> 需在处置前进行评估的资产，原则上在交易时交</w:t>
      </w:r>
      <w:r>
        <w:rPr>
          <w:spacing w:val="13"/>
        </w:rPr>
        <w:t xml:space="preserve"> </w:t>
      </w:r>
      <w:r>
        <w:rPr>
          <w:spacing w:val="5"/>
        </w:rPr>
        <w:t>易价格不得低于评估价格，当交易价格低于评估结果的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90%</w:t>
      </w:r>
      <w:r>
        <w:rPr>
          <w:spacing w:val="5"/>
        </w:rPr>
        <w:t>时，</w:t>
      </w:r>
    </w:p>
    <w:p>
      <w:pPr>
        <w:pStyle w:val="2"/>
        <w:spacing w:before="1" w:line="220" w:lineRule="auto"/>
        <w:ind w:left="11"/>
      </w:pPr>
      <w:r>
        <w:rPr>
          <w:spacing w:val="7"/>
        </w:rPr>
        <w:t>应暂停交易并报原资产处置审批部门同意后方可继续</w:t>
      </w:r>
      <w:r>
        <w:rPr>
          <w:spacing w:val="6"/>
        </w:rPr>
        <w:t>进行。</w:t>
      </w:r>
    </w:p>
    <w:p>
      <w:pPr>
        <w:pStyle w:val="2"/>
        <w:spacing w:before="166" w:line="322" w:lineRule="auto"/>
        <w:ind w:left="11" w:firstLine="649"/>
        <w:jc w:val="both"/>
      </w:pPr>
      <w:r>
        <w:rPr>
          <w:spacing w:val="6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第十七条</w:t>
      </w:r>
      <w:r>
        <w:rPr>
          <w:spacing w:val="6"/>
        </w:rPr>
        <w:t xml:space="preserve"> 市级行政事业单位有偿转让或报废资产的，对批  </w:t>
      </w:r>
      <w:r>
        <w:rPr>
          <w:spacing w:val="5"/>
        </w:rPr>
        <w:t>量少、价值低或不便于集中拍卖或处置的资产（含正常待报废</w:t>
      </w:r>
      <w:r>
        <w:rPr>
          <w:spacing w:val="-52"/>
        </w:rPr>
        <w:t>），</w:t>
      </w:r>
      <w:r>
        <w:t xml:space="preserve"> </w:t>
      </w:r>
      <w:r>
        <w:rPr>
          <w:spacing w:val="5"/>
        </w:rPr>
        <w:t>可由本单位的资产管理部门、财务部门等按公开、公平、公正的</w:t>
      </w:r>
      <w:r>
        <w:rPr>
          <w:spacing w:val="2"/>
        </w:rPr>
        <w:t xml:space="preserve">  </w:t>
      </w:r>
      <w:r>
        <w:rPr>
          <w:spacing w:val="5"/>
        </w:rPr>
        <w:t>原则处理；对有偿转让资产数量较多或者价值较高的，可以通过</w:t>
      </w:r>
      <w:r>
        <w:rPr>
          <w:spacing w:val="1"/>
        </w:rPr>
        <w:t xml:space="preserve">  </w:t>
      </w:r>
      <w:r>
        <w:rPr>
          <w:spacing w:val="5"/>
        </w:rPr>
        <w:t>市公共资源交易中心等交易平台以公开竞价方式进行。法律法规</w:t>
      </w:r>
    </w:p>
    <w:p>
      <w:pPr>
        <w:pStyle w:val="2"/>
        <w:spacing w:before="1" w:line="222" w:lineRule="auto"/>
        <w:ind w:left="13"/>
      </w:pPr>
      <w:r>
        <w:rPr>
          <w:spacing w:val="1"/>
        </w:rPr>
        <w:t>另有规定的，从其规定。</w:t>
      </w:r>
    </w:p>
    <w:p>
      <w:pPr>
        <w:pStyle w:val="2"/>
        <w:spacing w:before="167" w:line="540" w:lineRule="exact"/>
        <w:ind w:left="660"/>
      </w:pPr>
      <w:r>
        <w:rPr>
          <w:spacing w:val="9"/>
          <w:position w:val="17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第十八条</w:t>
      </w:r>
      <w:r>
        <w:rPr>
          <w:spacing w:val="9"/>
          <w:position w:val="17"/>
        </w:rPr>
        <w:t xml:space="preserve"> 在交易过程中，对拟公开转让的资产</w:t>
      </w:r>
      <w:r>
        <w:rPr>
          <w:spacing w:val="8"/>
          <w:position w:val="17"/>
        </w:rPr>
        <w:t>应合理确定</w:t>
      </w:r>
    </w:p>
    <w:p>
      <w:pPr>
        <w:pStyle w:val="2"/>
        <w:spacing w:line="220" w:lineRule="auto"/>
        <w:ind w:left="2"/>
      </w:pPr>
      <w:r>
        <w:rPr>
          <w:spacing w:val="5"/>
        </w:rPr>
        <w:t>公告期，公告时间原则上不少于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5 </w:t>
      </w:r>
      <w:r>
        <w:rPr>
          <w:spacing w:val="5"/>
        </w:rPr>
        <w:t>个工作日。</w:t>
      </w:r>
    </w:p>
    <w:p>
      <w:pPr>
        <w:spacing w:line="220" w:lineRule="auto"/>
        <w:sectPr>
          <w:footerReference r:id="rId11" w:type="default"/>
          <w:pgSz w:w="11906" w:h="16838"/>
          <w:pgMar w:top="400" w:right="1276" w:bottom="1122" w:left="1595" w:header="0" w:footer="846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101" w:line="321" w:lineRule="auto"/>
        <w:ind w:left="8" w:right="2" w:firstLine="642"/>
      </w:pPr>
      <w:r>
        <w:rPr>
          <w:spacing w:val="9"/>
        </w:rPr>
        <w:t>对公开转让的资产原则上采用竞价方式进行交易，价高者</w:t>
      </w:r>
      <w:r>
        <w:rPr>
          <w:spacing w:val="1"/>
        </w:rPr>
        <w:t xml:space="preserve">  </w:t>
      </w:r>
      <w:r>
        <w:rPr>
          <w:spacing w:val="5"/>
        </w:rPr>
        <w:t>得。对于意向竞价方应公平、公正对待，不应设置有排他性的限</w:t>
      </w:r>
    </w:p>
    <w:p>
      <w:pPr>
        <w:pStyle w:val="2"/>
        <w:spacing w:before="1" w:line="219" w:lineRule="auto"/>
        <w:ind w:left="13"/>
      </w:pPr>
      <w:r>
        <w:rPr>
          <w:spacing w:val="5"/>
        </w:rPr>
        <w:t>制条款，严禁围标、串标。</w:t>
      </w:r>
    </w:p>
    <w:p>
      <w:pPr>
        <w:spacing w:line="381" w:lineRule="auto"/>
        <w:rPr>
          <w:rFonts w:ascii="Arial"/>
          <w:sz w:val="21"/>
        </w:rPr>
      </w:pPr>
    </w:p>
    <w:p>
      <w:pPr>
        <w:spacing w:before="101" w:line="226" w:lineRule="auto"/>
        <w:ind w:left="31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第六章  账务处理</w:t>
      </w:r>
    </w:p>
    <w:p>
      <w:pPr>
        <w:pStyle w:val="2"/>
        <w:spacing w:before="315" w:line="322" w:lineRule="auto"/>
        <w:ind w:left="10" w:firstLine="650"/>
      </w:pPr>
      <w:r>
        <w:rPr>
          <w:spacing w:val="9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第十九条</w:t>
      </w:r>
      <w:r>
        <w:rPr>
          <w:spacing w:val="9"/>
        </w:rPr>
        <w:t xml:space="preserve"> 市级行政事业单位国有资产处置</w:t>
      </w:r>
      <w:r>
        <w:rPr>
          <w:spacing w:val="8"/>
        </w:rPr>
        <w:t>收入应当纳入预</w:t>
      </w:r>
      <w:r>
        <w:t xml:space="preserve"> </w:t>
      </w:r>
      <w:r>
        <w:rPr>
          <w:spacing w:val="5"/>
        </w:rPr>
        <w:t>算管理，由申报单位向市财政局提交书面函（附件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6</w:t>
      </w:r>
      <w:r>
        <w:rPr>
          <w:spacing w:val="37"/>
        </w:rPr>
        <w:t>），</w:t>
      </w:r>
      <w:r>
        <w:rPr>
          <w:spacing w:val="5"/>
        </w:rPr>
        <w:t>由市财</w:t>
      </w:r>
      <w:r>
        <w:t xml:space="preserve"> </w:t>
      </w:r>
      <w:r>
        <w:rPr>
          <w:spacing w:val="7"/>
        </w:rPr>
        <w:t>政局统一开具湖南省非税收入缴款通知单（电子</w:t>
      </w:r>
      <w:r>
        <w:rPr>
          <w:spacing w:val="-20"/>
        </w:rPr>
        <w:t>），</w:t>
      </w:r>
      <w:r>
        <w:rPr>
          <w:spacing w:val="7"/>
        </w:rPr>
        <w:t>按照政府非</w:t>
      </w:r>
    </w:p>
    <w:p>
      <w:pPr>
        <w:pStyle w:val="2"/>
        <w:spacing w:line="222" w:lineRule="auto"/>
        <w:ind w:left="1"/>
      </w:pPr>
      <w:r>
        <w:rPr>
          <w:spacing w:val="6"/>
        </w:rPr>
        <w:t>税收入管理有关规定及时上缴国库。</w:t>
      </w:r>
    </w:p>
    <w:p>
      <w:pPr>
        <w:pStyle w:val="2"/>
        <w:spacing w:before="166" w:line="540" w:lineRule="exact"/>
        <w:jc w:val="right"/>
      </w:pPr>
      <w:r>
        <w:rPr>
          <w:spacing w:val="16"/>
          <w:position w:val="16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第二十条</w:t>
      </w:r>
      <w:r>
        <w:rPr>
          <w:spacing w:val="16"/>
          <w:position w:val="16"/>
        </w:rPr>
        <w:t xml:space="preserve"> 市级行政事业单位申报处置的资产</w:t>
      </w:r>
      <w:r>
        <w:rPr>
          <w:spacing w:val="15"/>
          <w:position w:val="16"/>
        </w:rPr>
        <w:t>信息应与</w:t>
      </w:r>
      <w:r>
        <w:rPr>
          <w:rFonts w:ascii="Times New Roman" w:hAnsi="Times New Roman" w:eastAsia="Times New Roman" w:cs="Times New Roman"/>
          <w:spacing w:val="15"/>
          <w:position w:val="16"/>
        </w:rPr>
        <w:t>“</w:t>
      </w:r>
      <w:r>
        <w:rPr>
          <w:rFonts w:ascii="Times New Roman" w:hAnsi="Times New Roman" w:eastAsia="Times New Roman" w:cs="Times New Roman"/>
          <w:spacing w:val="-45"/>
          <w:position w:val="16"/>
        </w:rPr>
        <w:t xml:space="preserve"> </w:t>
      </w:r>
      <w:r>
        <w:rPr>
          <w:spacing w:val="15"/>
          <w:position w:val="16"/>
        </w:rPr>
        <w:t>湖</w:t>
      </w:r>
    </w:p>
    <w:p>
      <w:pPr>
        <w:pStyle w:val="2"/>
        <w:spacing w:line="221" w:lineRule="auto"/>
        <w:ind w:left="21"/>
      </w:pPr>
      <w:r>
        <w:rPr>
          <w:spacing w:val="6"/>
        </w:rPr>
        <w:t>南省预算管理一体化系统资产管理模块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rFonts w:ascii="Times New Roman" w:hAnsi="Times New Roman" w:eastAsia="Times New Roman" w:cs="Times New Roman"/>
          <w:spacing w:val="-57"/>
        </w:rPr>
        <w:t xml:space="preserve"> </w:t>
      </w:r>
      <w:r>
        <w:rPr>
          <w:spacing w:val="6"/>
        </w:rPr>
        <w:t>数据保</w:t>
      </w:r>
      <w:r>
        <w:rPr>
          <w:spacing w:val="5"/>
        </w:rPr>
        <w:t>持一致。</w:t>
      </w:r>
    </w:p>
    <w:p>
      <w:pPr>
        <w:pStyle w:val="2"/>
        <w:spacing w:before="167" w:line="322" w:lineRule="auto"/>
        <w:ind w:firstLine="658"/>
      </w:pPr>
      <w:r>
        <w:rPr>
          <w:spacing w:val="4"/>
        </w:rPr>
        <w:t>资产处置完成，市级行政事业单位按照行政事业财务规则和</w:t>
      </w:r>
      <w:r>
        <w:rPr>
          <w:spacing w:val="13"/>
        </w:rPr>
        <w:t xml:space="preserve"> </w:t>
      </w:r>
      <w:r>
        <w:rPr>
          <w:spacing w:val="5"/>
        </w:rPr>
        <w:t>政府会计制度调整相关会计账目和变更登记资产台账，确保账实</w:t>
      </w:r>
      <w:r>
        <w:rPr>
          <w:spacing w:val="13"/>
        </w:rPr>
        <w:t xml:space="preserve"> </w:t>
      </w:r>
      <w:r>
        <w:rPr>
          <w:spacing w:val="5"/>
        </w:rPr>
        <w:t>相符和账账相符，并将处置资料立卷归档。资产处置涉及产权变</w:t>
      </w:r>
    </w:p>
    <w:p>
      <w:pPr>
        <w:pStyle w:val="2"/>
        <w:spacing w:line="221" w:lineRule="auto"/>
        <w:ind w:left="21"/>
      </w:pPr>
      <w:r>
        <w:rPr>
          <w:spacing w:val="6"/>
        </w:rPr>
        <w:t>动的单位要及时办理权属变更或注销登记等手续。</w:t>
      </w:r>
    </w:p>
    <w:p>
      <w:pPr>
        <w:spacing w:line="304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spacing w:before="101" w:line="227" w:lineRule="auto"/>
        <w:ind w:left="338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第七章</w:t>
      </w:r>
      <w:r>
        <w:rPr>
          <w:rFonts w:ascii="黑体" w:hAnsi="黑体" w:eastAsia="黑体" w:cs="黑体"/>
          <w:spacing w:val="21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1"/>
          <w:sz w:val="31"/>
          <w:szCs w:val="31"/>
        </w:rPr>
        <w:t>附</w:t>
      </w:r>
      <w:r>
        <w:rPr>
          <w:rFonts w:ascii="黑体" w:hAnsi="黑体" w:eastAsia="黑体" w:cs="黑体"/>
          <w:spacing w:val="1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"/>
          <w:sz w:val="31"/>
          <w:szCs w:val="31"/>
        </w:rPr>
        <w:t>则</w:t>
      </w:r>
    </w:p>
    <w:p>
      <w:pPr>
        <w:pStyle w:val="2"/>
        <w:spacing w:before="316" w:line="221" w:lineRule="auto"/>
        <w:ind w:left="660"/>
      </w:pPr>
      <w:r>
        <w:rPr>
          <w:spacing w:val="-4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第二十一条</w:t>
      </w:r>
      <w:r>
        <w:rPr>
          <w:spacing w:val="-4"/>
        </w:rPr>
        <w:t xml:space="preserve"> 本规程自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2024</w:t>
      </w:r>
      <w:r>
        <w:rPr>
          <w:rFonts w:ascii="Times New Roman" w:hAnsi="Times New Roman" w:eastAsia="Times New Roman" w:cs="Times New Roman"/>
          <w:spacing w:val="19"/>
          <w:w w:val="101"/>
        </w:rPr>
        <w:t xml:space="preserve"> </w:t>
      </w:r>
      <w:r>
        <w:rPr>
          <w:spacing w:val="-4"/>
        </w:rPr>
        <w:t>年</w:t>
      </w:r>
      <w:r>
        <w:rPr>
          <w:spacing w:val="-41"/>
        </w:rPr>
        <w:t xml:space="preserve"> </w:t>
      </w:r>
      <w:r>
        <w:rPr>
          <w:spacing w:val="-4"/>
        </w:rPr>
        <w:t>1</w:t>
      </w:r>
      <w:r>
        <w:rPr>
          <w:spacing w:val="-46"/>
        </w:rPr>
        <w:t xml:space="preserve"> </w:t>
      </w:r>
      <w:r>
        <w:rPr>
          <w:spacing w:val="-4"/>
        </w:rPr>
        <w:t>月</w:t>
      </w:r>
      <w:r>
        <w:rPr>
          <w:spacing w:val="-40"/>
        </w:rPr>
        <w:t xml:space="preserve"> </w:t>
      </w:r>
      <w:r>
        <w:rPr>
          <w:spacing w:val="-4"/>
        </w:rPr>
        <w:t>1 日起施行。</w:t>
      </w:r>
    </w:p>
    <w:p>
      <w:pPr>
        <w:spacing w:line="221" w:lineRule="auto"/>
        <w:sectPr>
          <w:footerReference r:id="rId12" w:type="default"/>
          <w:pgSz w:w="11906" w:h="16838"/>
          <w:pgMar w:top="400" w:right="1473" w:bottom="1117" w:left="1594" w:header="0" w:footer="846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230" w:lineRule="auto"/>
        <w:ind w:left="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>
      <w:pPr>
        <w:spacing w:before="231" w:line="211" w:lineRule="auto"/>
        <w:ind w:left="678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0"/>
          <w:sz w:val="43"/>
          <w:szCs w:val="43"/>
        </w:rPr>
        <w:t>关于处置部分国有资产的请示（范本）</w:t>
      </w:r>
    </w:p>
    <w:p>
      <w:pPr>
        <w:spacing w:line="294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pStyle w:val="2"/>
        <w:spacing w:before="101" w:line="223" w:lineRule="auto"/>
        <w:ind w:left="17"/>
      </w:pPr>
      <w:r>
        <w:rPr>
          <w:rFonts w:ascii="Times New Roman" w:hAnsi="Times New Roman" w:eastAsia="Times New Roman" w:cs="Times New Roman"/>
          <w:spacing w:val="-2"/>
        </w:rPr>
        <w:t>×××</w:t>
      </w:r>
      <w:r>
        <w:rPr>
          <w:rFonts w:ascii="Times New Roman" w:hAnsi="Times New Roman" w:eastAsia="Times New Roman" w:cs="Times New Roman"/>
          <w:spacing w:val="-57"/>
        </w:rPr>
        <w:t xml:space="preserve"> </w:t>
      </w:r>
      <w:r>
        <w:rPr>
          <w:spacing w:val="-2"/>
        </w:rPr>
        <w:t>局（委、办</w:t>
      </w:r>
      <w:r>
        <w:rPr>
          <w:spacing w:val="-8"/>
        </w:rPr>
        <w:t>）：</w:t>
      </w:r>
    </w:p>
    <w:p>
      <w:pPr>
        <w:pStyle w:val="2"/>
        <w:spacing w:before="180" w:line="334" w:lineRule="auto"/>
        <w:ind w:left="3" w:firstLine="658"/>
      </w:pPr>
      <w:r>
        <w:rPr>
          <w:spacing w:val="8"/>
        </w:rPr>
        <w:t xml:space="preserve">我单位资产管理部门对各使用部门提出处置申请的国有资  </w:t>
      </w:r>
      <w:r>
        <w:rPr>
          <w:spacing w:val="5"/>
        </w:rPr>
        <w:t>产，会同财务等部门和专业人员进行了审核鉴定，经研究，现申</w:t>
      </w:r>
      <w:r>
        <w:rPr>
          <w:spacing w:val="10"/>
        </w:rPr>
        <w:t xml:space="preserve"> </w:t>
      </w:r>
      <w:r>
        <w:rPr>
          <w:spacing w:val="-2"/>
        </w:rPr>
        <w:t>报处置。处置资产基本情况：名称</w:t>
      </w:r>
      <w:r>
        <w:rPr>
          <w:rFonts w:ascii="Times New Roman" w:hAnsi="Times New Roman" w:eastAsia="Times New Roman" w:cs="Times New Roman"/>
          <w:spacing w:val="-2"/>
        </w:rPr>
        <w:t>×××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2"/>
        </w:rPr>
        <w:t>,</w:t>
      </w:r>
      <w:r>
        <w:rPr>
          <w:spacing w:val="64"/>
        </w:rPr>
        <w:t xml:space="preserve"> </w:t>
      </w:r>
      <w:r>
        <w:rPr>
          <w:spacing w:val="-3"/>
        </w:rPr>
        <w:t>数量</w:t>
      </w:r>
      <w:r>
        <w:rPr>
          <w:rFonts w:ascii="Times New Roman" w:hAnsi="Times New Roman" w:eastAsia="Times New Roman" w:cs="Times New Roman"/>
          <w:spacing w:val="-3"/>
        </w:rPr>
        <w:t>×××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3"/>
        </w:rPr>
        <w:t>,</w:t>
      </w:r>
      <w:r>
        <w:rPr>
          <w:spacing w:val="50"/>
        </w:rPr>
        <w:t xml:space="preserve"> </w:t>
      </w:r>
      <w:r>
        <w:rPr>
          <w:spacing w:val="-3"/>
        </w:rPr>
        <w:t>账面原值</w:t>
      </w:r>
      <w:r>
        <w:rPr>
          <w:rFonts w:ascii="Times New Roman" w:hAnsi="Times New Roman" w:eastAsia="Times New Roman" w:cs="Times New Roman"/>
          <w:spacing w:val="-3"/>
        </w:rPr>
        <w:t>×××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3"/>
        </w:rPr>
        <w:t>元，现值</w:t>
      </w:r>
      <w:r>
        <w:rPr>
          <w:rFonts w:ascii="Times New Roman" w:hAnsi="Times New Roman" w:eastAsia="Times New Roman" w:cs="Times New Roman"/>
          <w:spacing w:val="3"/>
        </w:rPr>
        <w:t>×××</w:t>
      </w:r>
      <w:r>
        <w:rPr>
          <w:rFonts w:ascii="Times New Roman" w:hAnsi="Times New Roman" w:eastAsia="Times New Roman" w:cs="Times New Roman"/>
          <w:spacing w:val="-47"/>
        </w:rPr>
        <w:t xml:space="preserve"> </w:t>
      </w:r>
      <w:r>
        <w:rPr>
          <w:spacing w:val="3"/>
        </w:rPr>
        <w:t>元，坐落位置</w:t>
      </w:r>
      <w:r>
        <w:rPr>
          <w:rFonts w:ascii="Times New Roman" w:hAnsi="Times New Roman" w:eastAsia="Times New Roman" w:cs="Times New Roman"/>
          <w:spacing w:val="3"/>
        </w:rPr>
        <w:t>×××</w:t>
      </w:r>
      <w:r>
        <w:rPr>
          <w:spacing w:val="3"/>
        </w:rPr>
        <w:t>。处置理由及相关依据：</w:t>
      </w:r>
      <w:r>
        <w:rPr>
          <w:rFonts w:ascii="Times New Roman" w:hAnsi="Times New Roman" w:eastAsia="Times New Roman" w:cs="Times New Roman"/>
          <w:spacing w:val="3"/>
        </w:rPr>
        <w:t>×××</w:t>
      </w:r>
      <w:r>
        <w:rPr>
          <w:spacing w:val="3"/>
        </w:rPr>
        <w:t>。资</w:t>
      </w:r>
      <w:r>
        <w:t xml:space="preserve"> </w:t>
      </w:r>
      <w:r>
        <w:rPr>
          <w:spacing w:val="5"/>
        </w:rPr>
        <w:t>产评估情况（适用需要评估的情形）。处置方式：无偿划转、对</w:t>
      </w:r>
      <w:r>
        <w:rPr>
          <w:spacing w:val="10"/>
        </w:rPr>
        <w:t xml:space="preserve"> </w:t>
      </w:r>
      <w:r>
        <w:rPr>
          <w:spacing w:val="5"/>
        </w:rPr>
        <w:t>外捐赠、转让、置换、报废、损失核销等。现根据《邵阳市市级</w:t>
      </w:r>
      <w:r>
        <w:rPr>
          <w:spacing w:val="10"/>
        </w:rPr>
        <w:t xml:space="preserve"> </w:t>
      </w:r>
      <w:r>
        <w:rPr>
          <w:spacing w:val="8"/>
        </w:rPr>
        <w:t>行政事业单位国有资产处置管理办法》（邵财</w:t>
      </w:r>
      <w:r>
        <w:rPr>
          <w:spacing w:val="7"/>
        </w:rPr>
        <w:t>资〔</w:t>
      </w:r>
      <w:r>
        <w:rPr>
          <w:rFonts w:ascii="Times New Roman" w:hAnsi="Times New Roman" w:eastAsia="Times New Roman" w:cs="Times New Roman"/>
          <w:spacing w:val="7"/>
        </w:rPr>
        <w:t>2023</w:t>
      </w:r>
      <w:r>
        <w:rPr>
          <w:spacing w:val="7"/>
        </w:rPr>
        <w:t>〕</w:t>
      </w:r>
      <w:r>
        <w:rPr>
          <w:rFonts w:ascii="Times New Roman" w:hAnsi="Times New Roman" w:eastAsia="Times New Roman" w:cs="Times New Roman"/>
          <w:spacing w:val="7"/>
        </w:rPr>
        <w:t>2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7"/>
        </w:rPr>
        <w:t>号）</w:t>
      </w:r>
    </w:p>
    <w:p>
      <w:pPr>
        <w:pStyle w:val="2"/>
        <w:spacing w:line="222" w:lineRule="auto"/>
        <w:ind w:left="31"/>
      </w:pPr>
      <w:r>
        <w:rPr>
          <w:spacing w:val="7"/>
        </w:rPr>
        <w:t>的有关规定，报你局（委、办）审核批准。</w:t>
      </w:r>
    </w:p>
    <w:p>
      <w:pPr>
        <w:pStyle w:val="2"/>
        <w:spacing w:before="186" w:line="220" w:lineRule="auto"/>
        <w:ind w:left="648"/>
      </w:pPr>
      <w:r>
        <w:rPr>
          <w:spacing w:val="-1"/>
        </w:rPr>
        <w:t>妥否，请批示。</w:t>
      </w:r>
    </w:p>
    <w:p>
      <w:pPr>
        <w:spacing w:line="323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pStyle w:val="2"/>
        <w:spacing w:before="101" w:line="559" w:lineRule="exact"/>
        <w:ind w:left="668"/>
      </w:pPr>
      <w:r>
        <w:rPr>
          <w:spacing w:val="6"/>
          <w:position w:val="18"/>
        </w:rPr>
        <w:t>附件：</w:t>
      </w:r>
      <w:r>
        <w:rPr>
          <w:rFonts w:ascii="Times New Roman" w:hAnsi="Times New Roman" w:eastAsia="Times New Roman" w:cs="Times New Roman"/>
          <w:spacing w:val="6"/>
          <w:position w:val="18"/>
        </w:rPr>
        <w:t>1</w:t>
      </w:r>
      <w:r>
        <w:rPr>
          <w:rFonts w:ascii="Times New Roman" w:hAnsi="Times New Roman" w:eastAsia="Times New Roman" w:cs="Times New Roman"/>
          <w:spacing w:val="-35"/>
          <w:position w:val="18"/>
        </w:rPr>
        <w:t xml:space="preserve"> </w:t>
      </w:r>
      <w:r>
        <w:rPr>
          <w:spacing w:val="6"/>
          <w:position w:val="18"/>
        </w:rPr>
        <w:t>、市级行政事业单位国有资产处置申请表</w:t>
      </w:r>
    </w:p>
    <w:p>
      <w:pPr>
        <w:pStyle w:val="2"/>
        <w:spacing w:before="1" w:line="222" w:lineRule="auto"/>
        <w:ind w:left="1598"/>
      </w:pPr>
      <w:r>
        <w:rPr>
          <w:rFonts w:ascii="Times New Roman" w:hAnsi="Times New Roman" w:eastAsia="Times New Roman" w:cs="Times New Roman"/>
          <w:spacing w:val="6"/>
        </w:rPr>
        <w:t>2</w:t>
      </w:r>
      <w:r>
        <w:rPr>
          <w:spacing w:val="6"/>
        </w:rPr>
        <w:t>、内部决议或会议纪要</w:t>
      </w:r>
    </w:p>
    <w:p>
      <w:pPr>
        <w:pStyle w:val="2"/>
        <w:spacing w:before="188" w:line="220" w:lineRule="auto"/>
        <w:ind w:left="1605"/>
      </w:pPr>
      <w:r>
        <w:rPr>
          <w:rFonts w:ascii="Times New Roman" w:hAnsi="Times New Roman" w:eastAsia="Times New Roman" w:cs="Times New Roman"/>
          <w:spacing w:val="5"/>
        </w:rPr>
        <w:t>3</w:t>
      </w:r>
      <w:r>
        <w:rPr>
          <w:spacing w:val="5"/>
        </w:rPr>
        <w:t>、其他相关资料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102" w:line="221" w:lineRule="auto"/>
        <w:ind w:left="5777"/>
      </w:pPr>
      <w:r>
        <w:rPr>
          <w:rFonts w:ascii="Times New Roman" w:hAnsi="Times New Roman" w:eastAsia="Times New Roman" w:cs="Times New Roman"/>
          <w:spacing w:val="2"/>
        </w:rPr>
        <w:t>××</w:t>
      </w:r>
      <w:r>
        <w:rPr>
          <w:rFonts w:ascii="Times New Roman" w:hAnsi="Times New Roman" w:eastAsia="Times New Roman" w:cs="Times New Roman"/>
          <w:spacing w:val="-55"/>
        </w:rPr>
        <w:t xml:space="preserve"> </w:t>
      </w:r>
      <w:r>
        <w:rPr>
          <w:spacing w:val="2"/>
        </w:rPr>
        <w:t>单位（签章）</w:t>
      </w:r>
    </w:p>
    <w:p>
      <w:pPr>
        <w:spacing w:line="315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6098"/>
      </w:pPr>
      <w:r>
        <w:rPr>
          <w:rFonts w:ascii="Times New Roman" w:hAnsi="Times New Roman" w:eastAsia="Times New Roman" w:cs="Times New Roman"/>
          <w:spacing w:val="-3"/>
        </w:rPr>
        <w:t>××</w:t>
      </w:r>
      <w:r>
        <w:rPr>
          <w:spacing w:val="-3"/>
        </w:rPr>
        <w:t>年</w:t>
      </w:r>
      <w:r>
        <w:rPr>
          <w:rFonts w:ascii="Times New Roman" w:hAnsi="Times New Roman" w:eastAsia="Times New Roman" w:cs="Times New Roman"/>
          <w:spacing w:val="-3"/>
        </w:rPr>
        <w:t>×</w:t>
      </w:r>
      <w:r>
        <w:rPr>
          <w:rFonts w:ascii="Times New Roman" w:hAnsi="Times New Roman" w:eastAsia="Times New Roman" w:cs="Times New Roman"/>
          <w:spacing w:val="-44"/>
        </w:rPr>
        <w:t xml:space="preserve"> </w:t>
      </w:r>
      <w:r>
        <w:rPr>
          <w:spacing w:val="-3"/>
        </w:rPr>
        <w:t>月</w:t>
      </w:r>
      <w:r>
        <w:rPr>
          <w:rFonts w:ascii="Times New Roman" w:hAnsi="Times New Roman" w:eastAsia="Times New Roman" w:cs="Times New Roman"/>
          <w:spacing w:val="-3"/>
        </w:rPr>
        <w:t xml:space="preserve">× </w:t>
      </w:r>
      <w:r>
        <w:rPr>
          <w:spacing w:val="-3"/>
        </w:rPr>
        <w:t>日</w:t>
      </w:r>
    </w:p>
    <w:p>
      <w:pPr>
        <w:spacing w:line="222" w:lineRule="auto"/>
        <w:sectPr>
          <w:footerReference r:id="rId13" w:type="default"/>
          <w:pgSz w:w="11906" w:h="16838"/>
          <w:pgMar w:top="400" w:right="1443" w:bottom="1122" w:left="1595" w:header="0" w:footer="846" w:gutter="0"/>
          <w:cols w:space="720" w:num="1"/>
        </w:sectPr>
      </w:pPr>
    </w:p>
    <w:p>
      <w:pPr>
        <w:spacing w:before="44"/>
      </w:pPr>
    </w:p>
    <w:p>
      <w:pPr>
        <w:spacing w:before="43"/>
      </w:pPr>
    </w:p>
    <w:p>
      <w:pPr>
        <w:spacing w:before="43"/>
      </w:pPr>
    </w:p>
    <w:p>
      <w:pPr>
        <w:spacing w:before="43"/>
      </w:pPr>
    </w:p>
    <w:p>
      <w:pPr>
        <w:spacing w:before="43"/>
      </w:pPr>
    </w:p>
    <w:p>
      <w:pPr>
        <w:sectPr>
          <w:footerReference r:id="rId14" w:type="default"/>
          <w:pgSz w:w="16838" w:h="11906"/>
          <w:pgMar w:top="400" w:right="747" w:bottom="400" w:left="747" w:header="0" w:footer="0" w:gutter="0"/>
          <w:cols w:equalWidth="0" w:num="1">
            <w:col w:w="15343"/>
          </w:cols>
        </w:sectPr>
      </w:pPr>
    </w:p>
    <w:p>
      <w:pPr>
        <w:spacing w:before="76" w:line="230" w:lineRule="auto"/>
        <w:ind w:left="72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pStyle w:val="2"/>
        <w:spacing w:before="75" w:line="192" w:lineRule="auto"/>
        <w:ind w:left="737"/>
        <w:rPr>
          <w:sz w:val="23"/>
          <w:szCs w:val="23"/>
        </w:rPr>
      </w:pPr>
      <w:r>
        <w:rPr>
          <w:spacing w:val="3"/>
          <w:sz w:val="23"/>
          <w:szCs w:val="23"/>
        </w:rPr>
        <w:t>申报单位（签章）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25" w:lineRule="auto"/>
        <w:rPr>
          <w:rFonts w:ascii="Arial"/>
          <w:sz w:val="21"/>
        </w:rPr>
      </w:pPr>
    </w:p>
    <w:p>
      <w:pPr>
        <w:spacing w:before="133" w:line="221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市级行政事业单位国有资产处置申请表</w:t>
      </w:r>
    </w:p>
    <w:p>
      <w:pPr>
        <w:pStyle w:val="2"/>
        <w:spacing w:line="191" w:lineRule="auto"/>
        <w:ind w:left="2819"/>
        <w:rPr>
          <w:sz w:val="23"/>
          <w:szCs w:val="23"/>
        </w:rPr>
      </w:pPr>
      <w:r>
        <w:rPr>
          <w:spacing w:val="1"/>
          <w:sz w:val="23"/>
          <w:szCs w:val="23"/>
        </w:rPr>
        <w:t>联系人及联系电话：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75" w:line="192" w:lineRule="auto"/>
        <w:rPr>
          <w:sz w:val="23"/>
          <w:szCs w:val="23"/>
        </w:rPr>
      </w:pPr>
      <w:r>
        <w:rPr>
          <w:spacing w:val="4"/>
          <w:sz w:val="23"/>
          <w:szCs w:val="23"/>
        </w:rPr>
        <w:t>金额单位：元</w:t>
      </w:r>
    </w:p>
    <w:p>
      <w:pPr>
        <w:spacing w:line="192" w:lineRule="auto"/>
        <w:rPr>
          <w:sz w:val="23"/>
          <w:szCs w:val="23"/>
        </w:rPr>
        <w:sectPr>
          <w:type w:val="continuous"/>
          <w:pgSz w:w="16838" w:h="11906"/>
          <w:pgMar w:top="400" w:right="747" w:bottom="400" w:left="747" w:header="0" w:footer="0" w:gutter="0"/>
          <w:cols w:equalWidth="0" w:num="3">
            <w:col w:w="4863" w:space="100"/>
            <w:col w:w="8122" w:space="100"/>
            <w:col w:w="2160"/>
          </w:cols>
        </w:sectPr>
      </w:pPr>
    </w:p>
    <w:p>
      <w:pPr>
        <w:spacing w:line="36" w:lineRule="exact"/>
      </w:pPr>
    </w:p>
    <w:tbl>
      <w:tblPr>
        <w:tblStyle w:val="5"/>
        <w:tblW w:w="1532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1531"/>
        <w:gridCol w:w="1197"/>
        <w:gridCol w:w="369"/>
        <w:gridCol w:w="1215"/>
        <w:gridCol w:w="978"/>
        <w:gridCol w:w="1266"/>
        <w:gridCol w:w="106"/>
        <w:gridCol w:w="664"/>
        <w:gridCol w:w="734"/>
        <w:gridCol w:w="1050"/>
        <w:gridCol w:w="929"/>
        <w:gridCol w:w="344"/>
        <w:gridCol w:w="555"/>
        <w:gridCol w:w="906"/>
        <w:gridCol w:w="884"/>
        <w:gridCol w:w="149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0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23" w:lineRule="auto"/>
            </w:pPr>
          </w:p>
          <w:p>
            <w:pPr>
              <w:spacing w:before="62" w:line="226" w:lineRule="auto"/>
              <w:ind w:left="35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序号</w:t>
            </w:r>
          </w:p>
        </w:tc>
        <w:tc>
          <w:tcPr>
            <w:tcW w:w="153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24" w:lineRule="auto"/>
            </w:pPr>
          </w:p>
          <w:p>
            <w:pPr>
              <w:spacing w:before="62" w:line="224" w:lineRule="auto"/>
              <w:ind w:left="36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资产名称</w:t>
            </w:r>
          </w:p>
        </w:tc>
        <w:tc>
          <w:tcPr>
            <w:tcW w:w="156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23" w:lineRule="auto"/>
            </w:pPr>
          </w:p>
          <w:p>
            <w:pPr>
              <w:spacing w:before="62" w:line="227" w:lineRule="auto"/>
              <w:ind w:left="38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资产类别</w:t>
            </w:r>
          </w:p>
        </w:tc>
        <w:tc>
          <w:tcPr>
            <w:tcW w:w="1215" w:type="dxa"/>
            <w:vMerge w:val="restart"/>
            <w:tcBorders>
              <w:bottom w:val="nil"/>
            </w:tcBorders>
            <w:vAlign w:val="top"/>
          </w:tcPr>
          <w:p>
            <w:pPr>
              <w:spacing w:before="232" w:line="265" w:lineRule="auto"/>
              <w:ind w:left="403" w:right="201" w:hanging="19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资产卡片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编号</w:t>
            </w:r>
          </w:p>
        </w:tc>
        <w:tc>
          <w:tcPr>
            <w:tcW w:w="978" w:type="dxa"/>
            <w:vMerge w:val="restart"/>
            <w:tcBorders>
              <w:bottom w:val="nil"/>
            </w:tcBorders>
            <w:vAlign w:val="top"/>
          </w:tcPr>
          <w:p>
            <w:pPr>
              <w:spacing w:before="76" w:line="277" w:lineRule="auto"/>
              <w:ind w:left="186" w:right="183" w:firstLine="9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型号规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格或产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权证号</w:t>
            </w:r>
          </w:p>
        </w:tc>
        <w:tc>
          <w:tcPr>
            <w:tcW w:w="137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31" w:line="264" w:lineRule="auto"/>
              <w:ind w:left="381" w:right="177" w:hanging="19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房屋土地座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位位置</w:t>
            </w:r>
          </w:p>
        </w:tc>
        <w:tc>
          <w:tcPr>
            <w:tcW w:w="664" w:type="dxa"/>
            <w:vMerge w:val="restart"/>
            <w:tcBorders>
              <w:bottom w:val="nil"/>
            </w:tcBorders>
            <w:vAlign w:val="top"/>
          </w:tcPr>
          <w:p>
            <w:pPr>
              <w:spacing w:before="231" w:line="264" w:lineRule="auto"/>
              <w:ind w:left="136" w:right="12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计量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单位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23" w:lineRule="auto"/>
            </w:pPr>
          </w:p>
          <w:p>
            <w:pPr>
              <w:spacing w:before="62" w:line="227" w:lineRule="auto"/>
              <w:ind w:left="17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数量</w:t>
            </w:r>
          </w:p>
        </w:tc>
        <w:tc>
          <w:tcPr>
            <w:tcW w:w="105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23" w:lineRule="auto"/>
            </w:pPr>
          </w:p>
          <w:p>
            <w:pPr>
              <w:spacing w:before="62" w:line="227" w:lineRule="auto"/>
              <w:ind w:left="12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购置日期</w:t>
            </w:r>
          </w:p>
        </w:tc>
        <w:tc>
          <w:tcPr>
            <w:tcW w:w="2734" w:type="dxa"/>
            <w:gridSpan w:val="4"/>
            <w:vAlign w:val="top"/>
          </w:tcPr>
          <w:p>
            <w:pPr>
              <w:spacing w:before="63" w:line="226" w:lineRule="auto"/>
              <w:ind w:left="9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资产价值</w:t>
            </w:r>
          </w:p>
        </w:tc>
        <w:tc>
          <w:tcPr>
            <w:tcW w:w="884" w:type="dxa"/>
            <w:vMerge w:val="restart"/>
            <w:tcBorders>
              <w:bottom w:val="nil"/>
            </w:tcBorders>
            <w:vAlign w:val="top"/>
          </w:tcPr>
          <w:p>
            <w:pPr>
              <w:spacing w:before="231" w:line="312" w:lineRule="exact"/>
              <w:ind w:left="25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position w:val="8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处置</w:t>
            </w:r>
          </w:p>
          <w:p>
            <w:pPr>
              <w:spacing w:line="226" w:lineRule="auto"/>
              <w:ind w:left="25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方式</w:t>
            </w:r>
          </w:p>
        </w:tc>
        <w:tc>
          <w:tcPr>
            <w:tcW w:w="149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23" w:lineRule="auto"/>
            </w:pPr>
          </w:p>
          <w:p>
            <w:pPr>
              <w:spacing w:before="62" w:line="228" w:lineRule="auto"/>
              <w:ind w:left="55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5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10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3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6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1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7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6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5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29" w:type="dxa"/>
            <w:vAlign w:val="top"/>
          </w:tcPr>
          <w:p>
            <w:pPr>
              <w:spacing w:before="57" w:line="312" w:lineRule="exact"/>
              <w:ind w:left="26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position w:val="8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账面</w:t>
            </w:r>
          </w:p>
          <w:p>
            <w:pPr>
              <w:spacing w:line="226" w:lineRule="auto"/>
              <w:ind w:left="27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原值</w:t>
            </w:r>
          </w:p>
        </w:tc>
        <w:tc>
          <w:tcPr>
            <w:tcW w:w="899" w:type="dxa"/>
            <w:gridSpan w:val="2"/>
            <w:vAlign w:val="top"/>
          </w:tcPr>
          <w:p>
            <w:pPr>
              <w:spacing w:before="57" w:line="312" w:lineRule="exact"/>
              <w:ind w:left="25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position w:val="8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账面</w:t>
            </w:r>
          </w:p>
          <w:p>
            <w:pPr>
              <w:spacing w:line="226" w:lineRule="auto"/>
              <w:ind w:left="25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净值</w:t>
            </w:r>
          </w:p>
        </w:tc>
        <w:tc>
          <w:tcPr>
            <w:tcW w:w="906" w:type="dxa"/>
            <w:vAlign w:val="top"/>
          </w:tcPr>
          <w:p>
            <w:pPr>
              <w:spacing w:before="57" w:line="312" w:lineRule="exact"/>
              <w:ind w:left="25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position w:val="8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评估</w:t>
            </w:r>
          </w:p>
          <w:p>
            <w:pPr>
              <w:spacing w:line="225" w:lineRule="auto"/>
              <w:ind w:left="25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价值</w:t>
            </w:r>
          </w:p>
        </w:tc>
        <w:tc>
          <w:tcPr>
            <w:tcW w:w="88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9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108" w:type="dxa"/>
            <w:vAlign w:val="top"/>
          </w:tcPr>
          <w:p>
            <w:pPr>
              <w:pStyle w:val="6"/>
            </w:pPr>
          </w:p>
        </w:tc>
        <w:tc>
          <w:tcPr>
            <w:tcW w:w="1531" w:type="dxa"/>
            <w:vAlign w:val="top"/>
          </w:tcPr>
          <w:p>
            <w:pPr>
              <w:pStyle w:val="6"/>
            </w:pPr>
          </w:p>
        </w:tc>
        <w:tc>
          <w:tcPr>
            <w:tcW w:w="1566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15" w:type="dxa"/>
            <w:vAlign w:val="top"/>
          </w:tcPr>
          <w:p>
            <w:pPr>
              <w:pStyle w:val="6"/>
            </w:pPr>
          </w:p>
        </w:tc>
        <w:tc>
          <w:tcPr>
            <w:tcW w:w="978" w:type="dxa"/>
            <w:vAlign w:val="top"/>
          </w:tcPr>
          <w:p>
            <w:pPr>
              <w:pStyle w:val="6"/>
            </w:pPr>
          </w:p>
        </w:tc>
        <w:tc>
          <w:tcPr>
            <w:tcW w:w="137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664" w:type="dxa"/>
            <w:vAlign w:val="top"/>
          </w:tcPr>
          <w:p>
            <w:pPr>
              <w:pStyle w:val="6"/>
            </w:pPr>
          </w:p>
        </w:tc>
        <w:tc>
          <w:tcPr>
            <w:tcW w:w="734" w:type="dxa"/>
            <w:vAlign w:val="top"/>
          </w:tcPr>
          <w:p>
            <w:pPr>
              <w:pStyle w:val="6"/>
            </w:pPr>
          </w:p>
        </w:tc>
        <w:tc>
          <w:tcPr>
            <w:tcW w:w="1050" w:type="dxa"/>
            <w:vAlign w:val="top"/>
          </w:tcPr>
          <w:p>
            <w:pPr>
              <w:pStyle w:val="6"/>
            </w:pPr>
          </w:p>
        </w:tc>
        <w:tc>
          <w:tcPr>
            <w:tcW w:w="929" w:type="dxa"/>
            <w:vAlign w:val="top"/>
          </w:tcPr>
          <w:p>
            <w:pPr>
              <w:pStyle w:val="6"/>
            </w:pPr>
          </w:p>
        </w:tc>
        <w:tc>
          <w:tcPr>
            <w:tcW w:w="89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906" w:type="dxa"/>
            <w:vAlign w:val="top"/>
          </w:tcPr>
          <w:p>
            <w:pPr>
              <w:pStyle w:val="6"/>
            </w:pPr>
          </w:p>
        </w:tc>
        <w:tc>
          <w:tcPr>
            <w:tcW w:w="884" w:type="dxa"/>
            <w:vAlign w:val="top"/>
          </w:tcPr>
          <w:p>
            <w:pPr>
              <w:pStyle w:val="6"/>
            </w:pPr>
          </w:p>
        </w:tc>
        <w:tc>
          <w:tcPr>
            <w:tcW w:w="14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108" w:type="dxa"/>
            <w:vAlign w:val="top"/>
          </w:tcPr>
          <w:p>
            <w:pPr>
              <w:pStyle w:val="6"/>
            </w:pPr>
          </w:p>
        </w:tc>
        <w:tc>
          <w:tcPr>
            <w:tcW w:w="1531" w:type="dxa"/>
            <w:vAlign w:val="top"/>
          </w:tcPr>
          <w:p>
            <w:pPr>
              <w:pStyle w:val="6"/>
            </w:pPr>
          </w:p>
        </w:tc>
        <w:tc>
          <w:tcPr>
            <w:tcW w:w="1566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15" w:type="dxa"/>
            <w:vAlign w:val="top"/>
          </w:tcPr>
          <w:p>
            <w:pPr>
              <w:pStyle w:val="6"/>
            </w:pPr>
          </w:p>
        </w:tc>
        <w:tc>
          <w:tcPr>
            <w:tcW w:w="978" w:type="dxa"/>
            <w:vAlign w:val="top"/>
          </w:tcPr>
          <w:p>
            <w:pPr>
              <w:pStyle w:val="6"/>
            </w:pPr>
          </w:p>
        </w:tc>
        <w:tc>
          <w:tcPr>
            <w:tcW w:w="137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664" w:type="dxa"/>
            <w:vAlign w:val="top"/>
          </w:tcPr>
          <w:p>
            <w:pPr>
              <w:pStyle w:val="6"/>
            </w:pPr>
          </w:p>
        </w:tc>
        <w:tc>
          <w:tcPr>
            <w:tcW w:w="734" w:type="dxa"/>
            <w:vAlign w:val="top"/>
          </w:tcPr>
          <w:p>
            <w:pPr>
              <w:pStyle w:val="6"/>
            </w:pPr>
          </w:p>
        </w:tc>
        <w:tc>
          <w:tcPr>
            <w:tcW w:w="1050" w:type="dxa"/>
            <w:vAlign w:val="top"/>
          </w:tcPr>
          <w:p>
            <w:pPr>
              <w:pStyle w:val="6"/>
            </w:pPr>
          </w:p>
        </w:tc>
        <w:tc>
          <w:tcPr>
            <w:tcW w:w="929" w:type="dxa"/>
            <w:vAlign w:val="top"/>
          </w:tcPr>
          <w:p>
            <w:pPr>
              <w:pStyle w:val="6"/>
            </w:pPr>
          </w:p>
        </w:tc>
        <w:tc>
          <w:tcPr>
            <w:tcW w:w="89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906" w:type="dxa"/>
            <w:vAlign w:val="top"/>
          </w:tcPr>
          <w:p>
            <w:pPr>
              <w:pStyle w:val="6"/>
            </w:pPr>
          </w:p>
        </w:tc>
        <w:tc>
          <w:tcPr>
            <w:tcW w:w="884" w:type="dxa"/>
            <w:vAlign w:val="top"/>
          </w:tcPr>
          <w:p>
            <w:pPr>
              <w:pStyle w:val="6"/>
            </w:pPr>
          </w:p>
        </w:tc>
        <w:tc>
          <w:tcPr>
            <w:tcW w:w="14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108" w:type="dxa"/>
            <w:vAlign w:val="top"/>
          </w:tcPr>
          <w:p>
            <w:pPr>
              <w:pStyle w:val="6"/>
            </w:pPr>
          </w:p>
        </w:tc>
        <w:tc>
          <w:tcPr>
            <w:tcW w:w="1531" w:type="dxa"/>
            <w:vAlign w:val="top"/>
          </w:tcPr>
          <w:p>
            <w:pPr>
              <w:pStyle w:val="6"/>
            </w:pPr>
          </w:p>
        </w:tc>
        <w:tc>
          <w:tcPr>
            <w:tcW w:w="1566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15" w:type="dxa"/>
            <w:vAlign w:val="top"/>
          </w:tcPr>
          <w:p>
            <w:pPr>
              <w:pStyle w:val="6"/>
            </w:pPr>
          </w:p>
        </w:tc>
        <w:tc>
          <w:tcPr>
            <w:tcW w:w="978" w:type="dxa"/>
            <w:vAlign w:val="top"/>
          </w:tcPr>
          <w:p>
            <w:pPr>
              <w:pStyle w:val="6"/>
            </w:pPr>
          </w:p>
        </w:tc>
        <w:tc>
          <w:tcPr>
            <w:tcW w:w="137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664" w:type="dxa"/>
            <w:vAlign w:val="top"/>
          </w:tcPr>
          <w:p>
            <w:pPr>
              <w:pStyle w:val="6"/>
            </w:pPr>
          </w:p>
        </w:tc>
        <w:tc>
          <w:tcPr>
            <w:tcW w:w="734" w:type="dxa"/>
            <w:vAlign w:val="top"/>
          </w:tcPr>
          <w:p>
            <w:pPr>
              <w:pStyle w:val="6"/>
            </w:pPr>
          </w:p>
        </w:tc>
        <w:tc>
          <w:tcPr>
            <w:tcW w:w="1050" w:type="dxa"/>
            <w:vAlign w:val="top"/>
          </w:tcPr>
          <w:p>
            <w:pPr>
              <w:pStyle w:val="6"/>
            </w:pPr>
          </w:p>
        </w:tc>
        <w:tc>
          <w:tcPr>
            <w:tcW w:w="929" w:type="dxa"/>
            <w:vAlign w:val="top"/>
          </w:tcPr>
          <w:p>
            <w:pPr>
              <w:pStyle w:val="6"/>
            </w:pPr>
          </w:p>
        </w:tc>
        <w:tc>
          <w:tcPr>
            <w:tcW w:w="89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906" w:type="dxa"/>
            <w:vAlign w:val="top"/>
          </w:tcPr>
          <w:p>
            <w:pPr>
              <w:pStyle w:val="6"/>
            </w:pPr>
          </w:p>
        </w:tc>
        <w:tc>
          <w:tcPr>
            <w:tcW w:w="884" w:type="dxa"/>
            <w:vAlign w:val="top"/>
          </w:tcPr>
          <w:p>
            <w:pPr>
              <w:pStyle w:val="6"/>
            </w:pPr>
          </w:p>
        </w:tc>
        <w:tc>
          <w:tcPr>
            <w:tcW w:w="14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108" w:type="dxa"/>
            <w:vAlign w:val="top"/>
          </w:tcPr>
          <w:p>
            <w:pPr>
              <w:pStyle w:val="6"/>
            </w:pPr>
          </w:p>
        </w:tc>
        <w:tc>
          <w:tcPr>
            <w:tcW w:w="1531" w:type="dxa"/>
            <w:vAlign w:val="top"/>
          </w:tcPr>
          <w:p>
            <w:pPr>
              <w:pStyle w:val="6"/>
            </w:pPr>
          </w:p>
        </w:tc>
        <w:tc>
          <w:tcPr>
            <w:tcW w:w="1566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15" w:type="dxa"/>
            <w:vAlign w:val="top"/>
          </w:tcPr>
          <w:p>
            <w:pPr>
              <w:pStyle w:val="6"/>
            </w:pPr>
          </w:p>
        </w:tc>
        <w:tc>
          <w:tcPr>
            <w:tcW w:w="978" w:type="dxa"/>
            <w:vAlign w:val="top"/>
          </w:tcPr>
          <w:p>
            <w:pPr>
              <w:pStyle w:val="6"/>
            </w:pPr>
          </w:p>
        </w:tc>
        <w:tc>
          <w:tcPr>
            <w:tcW w:w="137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664" w:type="dxa"/>
            <w:vAlign w:val="top"/>
          </w:tcPr>
          <w:p>
            <w:pPr>
              <w:pStyle w:val="6"/>
            </w:pPr>
          </w:p>
        </w:tc>
        <w:tc>
          <w:tcPr>
            <w:tcW w:w="734" w:type="dxa"/>
            <w:vAlign w:val="top"/>
          </w:tcPr>
          <w:p>
            <w:pPr>
              <w:pStyle w:val="6"/>
            </w:pPr>
          </w:p>
        </w:tc>
        <w:tc>
          <w:tcPr>
            <w:tcW w:w="1050" w:type="dxa"/>
            <w:vAlign w:val="top"/>
          </w:tcPr>
          <w:p>
            <w:pPr>
              <w:pStyle w:val="6"/>
            </w:pPr>
          </w:p>
        </w:tc>
        <w:tc>
          <w:tcPr>
            <w:tcW w:w="929" w:type="dxa"/>
            <w:vAlign w:val="top"/>
          </w:tcPr>
          <w:p>
            <w:pPr>
              <w:pStyle w:val="6"/>
            </w:pPr>
          </w:p>
        </w:tc>
        <w:tc>
          <w:tcPr>
            <w:tcW w:w="89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906" w:type="dxa"/>
            <w:vAlign w:val="top"/>
          </w:tcPr>
          <w:p>
            <w:pPr>
              <w:pStyle w:val="6"/>
            </w:pPr>
          </w:p>
        </w:tc>
        <w:tc>
          <w:tcPr>
            <w:tcW w:w="884" w:type="dxa"/>
            <w:vAlign w:val="top"/>
          </w:tcPr>
          <w:p>
            <w:pPr>
              <w:pStyle w:val="6"/>
            </w:pPr>
          </w:p>
        </w:tc>
        <w:tc>
          <w:tcPr>
            <w:tcW w:w="14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639" w:type="dxa"/>
            <w:gridSpan w:val="2"/>
            <w:vAlign w:val="top"/>
          </w:tcPr>
          <w:p>
            <w:pPr>
              <w:spacing w:before="122" w:line="227" w:lineRule="auto"/>
              <w:ind w:left="92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处置原因</w:t>
            </w:r>
          </w:p>
        </w:tc>
        <w:tc>
          <w:tcPr>
            <w:tcW w:w="12688" w:type="dxa"/>
            <w:gridSpan w:val="15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</w:trPr>
        <w:tc>
          <w:tcPr>
            <w:tcW w:w="3836" w:type="dxa"/>
            <w:gridSpan w:val="3"/>
            <w:vAlign w:val="top"/>
          </w:tcPr>
          <w:p>
            <w:pPr>
              <w:spacing w:before="64" w:line="224" w:lineRule="auto"/>
              <w:ind w:right="8"/>
              <w:jc w:val="right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申报单位财务管理部门负责人意见（签章）</w:t>
            </w: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62" w:line="226" w:lineRule="auto"/>
              <w:ind w:left="171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年</w:t>
            </w:r>
            <w:r>
              <w:rPr>
                <w:rFonts w:ascii="仿宋" w:hAnsi="仿宋" w:eastAsia="仿宋" w:cs="仿宋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月</w:t>
            </w:r>
            <w:r>
              <w:rPr>
                <w:rFonts w:ascii="仿宋" w:hAnsi="仿宋" w:eastAsia="仿宋" w:cs="仿宋"/>
                <w:spacing w:val="28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日</w:t>
            </w:r>
          </w:p>
        </w:tc>
        <w:tc>
          <w:tcPr>
            <w:tcW w:w="3828" w:type="dxa"/>
            <w:gridSpan w:val="4"/>
            <w:vAlign w:val="top"/>
          </w:tcPr>
          <w:p>
            <w:pPr>
              <w:spacing w:before="64" w:line="224" w:lineRule="auto"/>
              <w:ind w:right="6"/>
              <w:jc w:val="right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申报单位资产管理部门负责人意见（签章）</w:t>
            </w: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62" w:line="226" w:lineRule="auto"/>
              <w:ind w:left="140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年</w:t>
            </w:r>
            <w:r>
              <w:rPr>
                <w:rFonts w:ascii="仿宋" w:hAnsi="仿宋" w:eastAsia="仿宋" w:cs="仿宋"/>
                <w:spacing w:val="15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月</w:t>
            </w:r>
            <w:r>
              <w:rPr>
                <w:rFonts w:ascii="仿宋" w:hAnsi="仿宋" w:eastAsia="仿宋" w:cs="仿宋"/>
                <w:spacing w:val="30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日</w:t>
            </w:r>
          </w:p>
        </w:tc>
        <w:tc>
          <w:tcPr>
            <w:tcW w:w="3827" w:type="dxa"/>
            <w:gridSpan w:val="6"/>
            <w:vAlign w:val="top"/>
          </w:tcPr>
          <w:p>
            <w:pPr>
              <w:spacing w:before="64" w:line="224" w:lineRule="auto"/>
              <w:ind w:left="13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申报单位单位领导审核意见（签章）</w:t>
            </w: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62" w:line="226" w:lineRule="auto"/>
              <w:ind w:left="131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年</w:t>
            </w:r>
            <w:r>
              <w:rPr>
                <w:rFonts w:ascii="仿宋" w:hAnsi="仿宋" w:eastAsia="仿宋" w:cs="仿宋"/>
                <w:spacing w:val="15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月</w:t>
            </w:r>
            <w:r>
              <w:rPr>
                <w:rFonts w:ascii="仿宋" w:hAnsi="仿宋" w:eastAsia="仿宋" w:cs="仿宋"/>
                <w:spacing w:val="28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日</w:t>
            </w:r>
          </w:p>
        </w:tc>
        <w:tc>
          <w:tcPr>
            <w:tcW w:w="3836" w:type="dxa"/>
            <w:gridSpan w:val="4"/>
            <w:vAlign w:val="top"/>
          </w:tcPr>
          <w:p>
            <w:pPr>
              <w:spacing w:before="63" w:line="225" w:lineRule="auto"/>
              <w:ind w:left="12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主管部门审核意见（签章）</w:t>
            </w: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62" w:line="226" w:lineRule="auto"/>
              <w:ind w:left="131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年</w:t>
            </w:r>
            <w:r>
              <w:rPr>
                <w:rFonts w:ascii="仿宋" w:hAnsi="仿宋" w:eastAsia="仿宋" w:cs="仿宋"/>
                <w:spacing w:val="15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月</w:t>
            </w:r>
            <w:r>
              <w:rPr>
                <w:rFonts w:ascii="仿宋" w:hAnsi="仿宋" w:eastAsia="仿宋" w:cs="仿宋"/>
                <w:spacing w:val="30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日</w:t>
            </w:r>
          </w:p>
        </w:tc>
      </w:tr>
    </w:tbl>
    <w:p>
      <w:pPr>
        <w:pStyle w:val="2"/>
        <w:spacing w:before="56" w:line="284" w:lineRule="auto"/>
        <w:ind w:left="704" w:right="695" w:hanging="4"/>
        <w:jc w:val="both"/>
        <w:rPr>
          <w:sz w:val="19"/>
          <w:szCs w:val="19"/>
        </w:rPr>
      </w:pPr>
      <w:r>
        <w:rPr>
          <w:spacing w:val="8"/>
          <w:sz w:val="19"/>
          <w:szCs w:val="19"/>
        </w:rPr>
        <w:t>说明：1.如无资产处置批复书，此表不能单独做</w:t>
      </w:r>
      <w:r>
        <w:rPr>
          <w:spacing w:val="7"/>
          <w:sz w:val="19"/>
          <w:szCs w:val="19"/>
        </w:rPr>
        <w:t>为核增（减） 资产、资产转户、财务做帐依据。  2.资产类别</w:t>
      </w:r>
      <w:r>
        <w:rPr>
          <w:spacing w:val="-48"/>
          <w:w w:val="90"/>
          <w:sz w:val="19"/>
          <w:szCs w:val="19"/>
        </w:rPr>
        <w:t>：（</w:t>
      </w:r>
      <w:r>
        <w:rPr>
          <w:spacing w:val="7"/>
          <w:sz w:val="19"/>
          <w:szCs w:val="19"/>
        </w:rPr>
        <w:t>1）固定资产包括①房屋及构筑物②设备③文物</w:t>
      </w:r>
      <w:r>
        <w:rPr>
          <w:sz w:val="19"/>
          <w:szCs w:val="19"/>
        </w:rPr>
        <w:t xml:space="preserve"> </w:t>
      </w:r>
      <w:r>
        <w:rPr>
          <w:spacing w:val="11"/>
          <w:sz w:val="19"/>
          <w:szCs w:val="19"/>
        </w:rPr>
        <w:t>和陈列品④图书、档案⑤家具、用具、装具及动植物⑥其他</w:t>
      </w:r>
      <w:r>
        <w:rPr>
          <w:spacing w:val="-46"/>
          <w:w w:val="87"/>
          <w:sz w:val="19"/>
          <w:szCs w:val="19"/>
        </w:rPr>
        <w:t>；（</w:t>
      </w:r>
      <w:r>
        <w:rPr>
          <w:spacing w:val="11"/>
          <w:sz w:val="19"/>
          <w:szCs w:val="19"/>
        </w:rPr>
        <w:t>2）无形资产①土地使用权②其他</w:t>
      </w:r>
      <w:r>
        <w:rPr>
          <w:spacing w:val="-46"/>
          <w:w w:val="87"/>
          <w:sz w:val="19"/>
          <w:szCs w:val="19"/>
        </w:rPr>
        <w:t>；（</w:t>
      </w:r>
      <w:r>
        <w:rPr>
          <w:spacing w:val="11"/>
          <w:sz w:val="19"/>
          <w:szCs w:val="19"/>
        </w:rPr>
        <w:t>3）对外投资</w:t>
      </w:r>
      <w:r>
        <w:rPr>
          <w:spacing w:val="-46"/>
          <w:w w:val="87"/>
          <w:sz w:val="19"/>
          <w:szCs w:val="19"/>
        </w:rPr>
        <w:t>；（</w:t>
      </w:r>
      <w:r>
        <w:rPr>
          <w:spacing w:val="11"/>
          <w:sz w:val="19"/>
          <w:szCs w:val="19"/>
        </w:rPr>
        <w:t>4）存货等其他资</w:t>
      </w:r>
      <w:r>
        <w:rPr>
          <w:spacing w:val="10"/>
          <w:sz w:val="19"/>
          <w:szCs w:val="19"/>
        </w:rPr>
        <w:t>产。</w:t>
      </w:r>
      <w:r>
        <w:rPr>
          <w:spacing w:val="-50"/>
          <w:sz w:val="19"/>
          <w:szCs w:val="19"/>
        </w:rPr>
        <w:t xml:space="preserve"> </w:t>
      </w:r>
      <w:r>
        <w:rPr>
          <w:spacing w:val="10"/>
          <w:sz w:val="19"/>
          <w:szCs w:val="19"/>
        </w:rPr>
        <w:t>3.党政机关和参公事业</w:t>
      </w:r>
      <w:r>
        <w:rPr>
          <w:sz w:val="19"/>
          <w:szCs w:val="19"/>
        </w:rPr>
        <w:t xml:space="preserve"> </w:t>
      </w:r>
      <w:r>
        <w:rPr>
          <w:spacing w:val="9"/>
          <w:sz w:val="19"/>
          <w:szCs w:val="19"/>
        </w:rPr>
        <w:t>单位资产处置事项先由市机关事务管理局审核；单位所有资产处置事项须经主管部门审核；各主管部门按规定权限审批所属单位报送的资产处置事项，规定权限</w:t>
      </w:r>
      <w:r>
        <w:rPr>
          <w:spacing w:val="11"/>
          <w:sz w:val="19"/>
          <w:szCs w:val="19"/>
        </w:rPr>
        <w:t xml:space="preserve"> </w:t>
      </w:r>
      <w:r>
        <w:rPr>
          <w:spacing w:val="9"/>
          <w:sz w:val="19"/>
          <w:szCs w:val="19"/>
        </w:rPr>
        <w:t>以外的，报市财政局审批；市财政局按规定权限审批</w:t>
      </w:r>
      <w:r>
        <w:rPr>
          <w:spacing w:val="8"/>
          <w:sz w:val="19"/>
          <w:szCs w:val="19"/>
        </w:rPr>
        <w:t>主管部门报送的资产处置事项。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pStyle w:val="2"/>
        <w:spacing w:before="92" w:line="196" w:lineRule="exact"/>
        <w:ind w:left="13958"/>
        <w:rPr>
          <w:sz w:val="28"/>
          <w:szCs w:val="28"/>
        </w:rPr>
      </w:pPr>
      <w:r>
        <w:rPr>
          <w:spacing w:val="-11"/>
          <w:position w:val="-3"/>
          <w:sz w:val="28"/>
          <w:szCs w:val="28"/>
        </w:rPr>
        <w:t>-</w:t>
      </w:r>
      <w:r>
        <w:rPr>
          <w:spacing w:val="24"/>
          <w:position w:val="-3"/>
          <w:sz w:val="28"/>
          <w:szCs w:val="28"/>
        </w:rPr>
        <w:t xml:space="preserve"> </w:t>
      </w:r>
      <w:r>
        <w:rPr>
          <w:spacing w:val="-11"/>
          <w:position w:val="-3"/>
          <w:sz w:val="28"/>
          <w:szCs w:val="28"/>
        </w:rPr>
        <w:t>9</w:t>
      </w:r>
      <w:r>
        <w:rPr>
          <w:spacing w:val="7"/>
          <w:position w:val="-3"/>
          <w:sz w:val="28"/>
          <w:szCs w:val="28"/>
        </w:rPr>
        <w:t xml:space="preserve"> </w:t>
      </w:r>
      <w:r>
        <w:rPr>
          <w:spacing w:val="-11"/>
          <w:position w:val="-3"/>
          <w:sz w:val="28"/>
          <w:szCs w:val="28"/>
        </w:rPr>
        <w:t>-</w:t>
      </w:r>
    </w:p>
    <w:p>
      <w:pPr>
        <w:spacing w:line="196" w:lineRule="exact"/>
        <w:rPr>
          <w:sz w:val="28"/>
          <w:szCs w:val="28"/>
        </w:rPr>
        <w:sectPr>
          <w:type w:val="continuous"/>
          <w:pgSz w:w="16838" w:h="11906"/>
          <w:pgMar w:top="400" w:right="747" w:bottom="400" w:left="747" w:header="0" w:footer="0" w:gutter="0"/>
          <w:cols w:equalWidth="0" w:num="1">
            <w:col w:w="15343"/>
          </w:cols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101" w:line="230" w:lineRule="auto"/>
        <w:ind w:left="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3</w:t>
      </w:r>
    </w:p>
    <w:p>
      <w:pPr>
        <w:spacing w:before="215" w:line="215" w:lineRule="auto"/>
        <w:ind w:left="526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6"/>
          <w:sz w:val="43"/>
          <w:szCs w:val="43"/>
        </w:rPr>
        <w:t>关于商请处置</w:t>
      </w:r>
      <w:r>
        <w:rPr>
          <w:rFonts w:ascii="微软雅黑" w:hAnsi="微软雅黑" w:eastAsia="微软雅黑" w:cs="微软雅黑"/>
          <w:spacing w:val="-74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43"/>
          <w:szCs w:val="43"/>
        </w:rPr>
        <w:t>×××</w:t>
      </w:r>
      <w:r>
        <w:rPr>
          <w:rFonts w:ascii="微软雅黑" w:hAnsi="微软雅黑" w:eastAsia="微软雅黑" w:cs="微软雅黑"/>
          <w:spacing w:val="6"/>
          <w:sz w:val="43"/>
          <w:szCs w:val="43"/>
        </w:rPr>
        <w:t>单位部分国有资产的函</w:t>
      </w:r>
    </w:p>
    <w:p>
      <w:pPr>
        <w:spacing w:before="46" w:line="179" w:lineRule="auto"/>
        <w:ind w:left="3513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9"/>
          <w:sz w:val="43"/>
          <w:szCs w:val="43"/>
        </w:rPr>
        <w:t>（范本）</w:t>
      </w:r>
    </w:p>
    <w:p>
      <w:pPr>
        <w:spacing w:line="331" w:lineRule="auto"/>
        <w:rPr>
          <w:rFonts w:ascii="Arial"/>
          <w:sz w:val="21"/>
        </w:rPr>
      </w:pPr>
    </w:p>
    <w:p>
      <w:pPr>
        <w:spacing w:line="332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17"/>
      </w:pPr>
      <w:r>
        <w:rPr>
          <w:spacing w:val="2"/>
        </w:rPr>
        <w:t>市财政局：</w:t>
      </w:r>
    </w:p>
    <w:p>
      <w:pPr>
        <w:pStyle w:val="2"/>
        <w:spacing w:before="181" w:line="334" w:lineRule="auto"/>
        <w:ind w:left="11" w:firstLine="650"/>
        <w:jc w:val="both"/>
      </w:pPr>
      <w:r>
        <w:rPr>
          <w:spacing w:val="4"/>
        </w:rPr>
        <w:t>我局（委、办）下属×××单位（或本级）通过×××文上</w:t>
      </w:r>
      <w:r>
        <w:rPr>
          <w:spacing w:val="7"/>
        </w:rPr>
        <w:t xml:space="preserve"> </w:t>
      </w:r>
      <w:r>
        <w:rPr>
          <w:spacing w:val="5"/>
        </w:rPr>
        <w:t>报，拟处置国有资产合计×××元。经审核，该单位处置申报手</w:t>
      </w:r>
      <w:r>
        <w:rPr>
          <w:spacing w:val="2"/>
        </w:rPr>
        <w:t xml:space="preserve"> </w:t>
      </w:r>
      <w:r>
        <w:rPr>
          <w:spacing w:val="5"/>
        </w:rPr>
        <w:t>续齐备、资料齐全，经研究，我局(委、办)拟同意该单位</w:t>
      </w:r>
      <w:r>
        <w:rPr>
          <w:spacing w:val="4"/>
        </w:rPr>
        <w:t>（无偿</w:t>
      </w:r>
      <w:r>
        <w:t xml:space="preserve"> </w:t>
      </w:r>
      <w:r>
        <w:rPr>
          <w:spacing w:val="-3"/>
        </w:rPr>
        <w:t>划转、对外捐赠、转让、置换、报废、损失核销等）</w:t>
      </w:r>
      <w:r>
        <w:rPr>
          <w:spacing w:val="-54"/>
        </w:rPr>
        <w:t xml:space="preserve"> </w:t>
      </w:r>
      <w:r>
        <w:rPr>
          <w:spacing w:val="-3"/>
        </w:rPr>
        <w:t>×××</w:t>
      </w:r>
      <w:r>
        <w:rPr>
          <w:spacing w:val="-111"/>
        </w:rPr>
        <w:t xml:space="preserve"> </w:t>
      </w:r>
      <w:r>
        <w:rPr>
          <w:spacing w:val="-3"/>
        </w:rPr>
        <w:t>,</w:t>
      </w:r>
      <w:r>
        <w:rPr>
          <w:spacing w:val="81"/>
        </w:rPr>
        <w:t xml:space="preserve"> </w:t>
      </w:r>
      <w:r>
        <w:rPr>
          <w:spacing w:val="-3"/>
        </w:rPr>
        <w:t>数</w:t>
      </w:r>
      <w:r>
        <w:t xml:space="preserve"> </w:t>
      </w:r>
      <w:r>
        <w:rPr>
          <w:spacing w:val="-7"/>
        </w:rPr>
        <w:t>量×××</w:t>
      </w:r>
      <w:r>
        <w:rPr>
          <w:spacing w:val="-111"/>
        </w:rPr>
        <w:t xml:space="preserve"> </w:t>
      </w:r>
      <w:r>
        <w:rPr>
          <w:spacing w:val="-7"/>
        </w:rPr>
        <w:t>, 账面原值×××元，现值×××元，坐落位置</w:t>
      </w:r>
      <w:r>
        <w:rPr>
          <w:spacing w:val="-61"/>
        </w:rPr>
        <w:t xml:space="preserve"> </w:t>
      </w:r>
      <w:r>
        <w:rPr>
          <w:spacing w:val="-8"/>
        </w:rPr>
        <w:t>×××。</w:t>
      </w:r>
      <w:r>
        <w:t xml:space="preserve"> </w:t>
      </w:r>
      <w:r>
        <w:rPr>
          <w:spacing w:val="1"/>
        </w:rPr>
        <w:t>资产评估情况（适用需要评估的情形）</w:t>
      </w:r>
      <w:r>
        <w:rPr>
          <w:spacing w:val="51"/>
        </w:rPr>
        <w:t xml:space="preserve"> </w:t>
      </w:r>
      <w:r>
        <w:rPr>
          <w:spacing w:val="1"/>
        </w:rPr>
        <w:t>。处置理由及政策依据：</w:t>
      </w:r>
      <w:r>
        <w:t xml:space="preserve"> </w:t>
      </w:r>
      <w:r>
        <w:rPr>
          <w:spacing w:val="5"/>
        </w:rPr>
        <w:t>×××。现根据《邵阳市市级行政事业单位国有资产处置管理办</w:t>
      </w:r>
    </w:p>
    <w:p>
      <w:pPr>
        <w:pStyle w:val="2"/>
        <w:spacing w:line="222" w:lineRule="auto"/>
        <w:ind w:left="14"/>
      </w:pPr>
      <w:r>
        <w:rPr>
          <w:spacing w:val="-3"/>
        </w:rPr>
        <w:t>法》（邵财资〔</w:t>
      </w:r>
      <w:r>
        <w:rPr>
          <w:rFonts w:ascii="Times New Roman" w:hAnsi="Times New Roman" w:eastAsia="Times New Roman" w:cs="Times New Roman"/>
          <w:spacing w:val="-3"/>
        </w:rPr>
        <w:t>2023</w:t>
      </w:r>
      <w:r>
        <w:rPr>
          <w:spacing w:val="-3"/>
        </w:rPr>
        <w:t>〕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-3"/>
        </w:rPr>
        <w:t>号）</w:t>
      </w:r>
      <w:r>
        <w:rPr>
          <w:spacing w:val="-37"/>
        </w:rPr>
        <w:t xml:space="preserve"> </w:t>
      </w:r>
      <w:r>
        <w:rPr>
          <w:spacing w:val="-3"/>
        </w:rPr>
        <w:t>的有关规定</w:t>
      </w:r>
      <w:r>
        <w:rPr>
          <w:spacing w:val="-4"/>
        </w:rPr>
        <w:t>， 报你局审批。</w:t>
      </w:r>
    </w:p>
    <w:p>
      <w:pPr>
        <w:pStyle w:val="2"/>
        <w:spacing w:before="186" w:line="220" w:lineRule="auto"/>
        <w:ind w:left="644"/>
      </w:pPr>
      <w:r>
        <w:rPr>
          <w:spacing w:val="-5"/>
        </w:rPr>
        <w:t>请研复。</w:t>
      </w:r>
    </w:p>
    <w:p>
      <w:pPr>
        <w:spacing w:line="323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pStyle w:val="2"/>
        <w:spacing w:before="102" w:line="220" w:lineRule="auto"/>
        <w:ind w:left="668"/>
      </w:pPr>
      <w:r>
        <w:rPr>
          <w:spacing w:val="2"/>
        </w:rPr>
        <w:t>附件：</w:t>
      </w:r>
      <w:r>
        <w:rPr>
          <w:spacing w:val="-42"/>
        </w:rPr>
        <w:t xml:space="preserve"> </w:t>
      </w:r>
      <w:r>
        <w:rPr>
          <w:spacing w:val="2"/>
        </w:rPr>
        <w:t>×××单位处置申请报告及相关附件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101" w:line="507" w:lineRule="exact"/>
        <w:ind w:left="5043"/>
      </w:pPr>
      <w:r>
        <w:rPr>
          <w:spacing w:val="-3"/>
          <w:position w:val="14"/>
        </w:rPr>
        <w:t>××单位（签章）</w:t>
      </w:r>
    </w:p>
    <w:p>
      <w:pPr>
        <w:pStyle w:val="2"/>
        <w:spacing w:line="222" w:lineRule="auto"/>
        <w:ind w:left="5131"/>
      </w:pPr>
      <w:r>
        <w:rPr>
          <w:spacing w:val="-4"/>
        </w:rPr>
        <w:t>××年×月×日</w:t>
      </w:r>
    </w:p>
    <w:p>
      <w:pPr>
        <w:spacing w:line="222" w:lineRule="auto"/>
        <w:sectPr>
          <w:footerReference r:id="rId15" w:type="default"/>
          <w:pgSz w:w="11906" w:h="16838"/>
          <w:pgMar w:top="400" w:right="1383" w:bottom="1122" w:left="1595" w:header="0" w:footer="846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01" w:line="230" w:lineRule="auto"/>
        <w:ind w:left="1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7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4</w:t>
      </w:r>
    </w:p>
    <w:p>
      <w:pPr>
        <w:spacing w:before="162" w:line="215" w:lineRule="auto"/>
        <w:ind w:left="4019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邵阳市公务用车处置申报审批表</w:t>
      </w:r>
    </w:p>
    <w:p>
      <w:pPr>
        <w:pStyle w:val="2"/>
        <w:spacing w:before="244" w:line="203" w:lineRule="auto"/>
        <w:ind w:left="157"/>
        <w:rPr>
          <w:sz w:val="23"/>
          <w:szCs w:val="23"/>
        </w:rPr>
      </w:pPr>
      <w:r>
        <w:rPr>
          <w:spacing w:val="-5"/>
          <w:sz w:val="23"/>
          <w:szCs w:val="23"/>
        </w:rPr>
        <w:t>申报单位（盖章</w:t>
      </w:r>
      <w:r>
        <w:rPr>
          <w:spacing w:val="-59"/>
          <w:sz w:val="23"/>
          <w:szCs w:val="23"/>
        </w:rPr>
        <w:t>）：</w:t>
      </w:r>
      <w:r>
        <w:rPr>
          <w:spacing w:val="5"/>
          <w:sz w:val="23"/>
          <w:szCs w:val="23"/>
        </w:rPr>
        <w:t xml:space="preserve">               </w:t>
      </w:r>
      <w:r>
        <w:rPr>
          <w:spacing w:val="-5"/>
          <w:sz w:val="23"/>
          <w:szCs w:val="23"/>
        </w:rPr>
        <w:t>申报日期：</w:t>
      </w:r>
      <w:r>
        <w:rPr>
          <w:spacing w:val="13"/>
          <w:sz w:val="23"/>
          <w:szCs w:val="23"/>
        </w:rPr>
        <w:t xml:space="preserve">     </w:t>
      </w:r>
      <w:r>
        <w:rPr>
          <w:spacing w:val="-5"/>
          <w:sz w:val="23"/>
          <w:szCs w:val="23"/>
        </w:rPr>
        <w:t>年</w:t>
      </w:r>
      <w:r>
        <w:rPr>
          <w:spacing w:val="30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月</w:t>
      </w:r>
      <w:r>
        <w:rPr>
          <w:spacing w:val="32"/>
          <w:sz w:val="23"/>
          <w:szCs w:val="23"/>
        </w:rPr>
        <w:t xml:space="preserve">  </w:t>
      </w:r>
      <w:r>
        <w:rPr>
          <w:spacing w:val="-5"/>
          <w:sz w:val="23"/>
          <w:szCs w:val="23"/>
        </w:rPr>
        <w:t>日             联系人及联系电</w:t>
      </w:r>
      <w:r>
        <w:rPr>
          <w:spacing w:val="-6"/>
          <w:sz w:val="23"/>
          <w:szCs w:val="23"/>
        </w:rPr>
        <w:t>话：                    金额单位：元</w:t>
      </w:r>
    </w:p>
    <w:tbl>
      <w:tblPr>
        <w:tblStyle w:val="5"/>
        <w:tblW w:w="143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"/>
        <w:gridCol w:w="1081"/>
        <w:gridCol w:w="1022"/>
        <w:gridCol w:w="60"/>
        <w:gridCol w:w="1081"/>
        <w:gridCol w:w="1081"/>
        <w:gridCol w:w="168"/>
        <w:gridCol w:w="914"/>
        <w:gridCol w:w="1082"/>
        <w:gridCol w:w="396"/>
        <w:gridCol w:w="686"/>
        <w:gridCol w:w="1082"/>
        <w:gridCol w:w="624"/>
        <w:gridCol w:w="458"/>
        <w:gridCol w:w="1081"/>
        <w:gridCol w:w="852"/>
        <w:gridCol w:w="230"/>
        <w:gridCol w:w="1081"/>
        <w:gridCol w:w="10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9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4" w:line="215" w:lineRule="auto"/>
              <w:ind w:left="3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序</w:t>
            </w:r>
            <w:r>
              <w:rPr>
                <w:rFonts w:ascii="仿宋" w:hAnsi="仿宋" w:eastAsia="仿宋" w:cs="仿宋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号</w:t>
            </w:r>
          </w:p>
        </w:tc>
        <w:tc>
          <w:tcPr>
            <w:tcW w:w="108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42" w:lineRule="auto"/>
            </w:pPr>
          </w:p>
          <w:p>
            <w:pPr>
              <w:spacing w:before="74" w:line="222" w:lineRule="auto"/>
              <w:ind w:left="19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车牌号</w:t>
            </w:r>
          </w:p>
        </w:tc>
        <w:tc>
          <w:tcPr>
            <w:tcW w:w="108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42" w:lineRule="auto"/>
            </w:pPr>
          </w:p>
          <w:p>
            <w:pPr>
              <w:spacing w:before="74" w:line="222" w:lineRule="auto"/>
              <w:ind w:left="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车辆品牌</w:t>
            </w:r>
          </w:p>
        </w:tc>
        <w:tc>
          <w:tcPr>
            <w:tcW w:w="108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42" w:lineRule="auto"/>
            </w:pPr>
          </w:p>
          <w:p>
            <w:pPr>
              <w:spacing w:before="74" w:line="222" w:lineRule="auto"/>
              <w:ind w:left="3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车型</w:t>
            </w:r>
          </w:p>
        </w:tc>
        <w:tc>
          <w:tcPr>
            <w:tcW w:w="108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42" w:lineRule="auto"/>
            </w:pPr>
          </w:p>
          <w:p>
            <w:pPr>
              <w:spacing w:before="74" w:line="225" w:lineRule="auto"/>
              <w:ind w:left="3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排量</w:t>
            </w:r>
          </w:p>
        </w:tc>
        <w:tc>
          <w:tcPr>
            <w:tcW w:w="108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42" w:lineRule="auto"/>
            </w:pPr>
          </w:p>
          <w:p>
            <w:pPr>
              <w:spacing w:before="74" w:line="225" w:lineRule="auto"/>
              <w:ind w:left="6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发动机号</w:t>
            </w:r>
          </w:p>
        </w:tc>
        <w:tc>
          <w:tcPr>
            <w:tcW w:w="108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42" w:lineRule="auto"/>
            </w:pPr>
          </w:p>
          <w:p>
            <w:pPr>
              <w:spacing w:before="74" w:line="222" w:lineRule="auto"/>
              <w:ind w:left="1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车架号</w:t>
            </w:r>
          </w:p>
        </w:tc>
        <w:tc>
          <w:tcPr>
            <w:tcW w:w="108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75" w:line="399" w:lineRule="exact"/>
              <w:ind w:left="3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position w:val="12"/>
                <w:sz w:val="23"/>
                <w:szCs w:val="23"/>
              </w:rPr>
              <w:t>购置</w:t>
            </w:r>
          </w:p>
          <w:p>
            <w:pPr>
              <w:spacing w:before="1" w:line="225" w:lineRule="auto"/>
              <w:ind w:left="35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日期</w:t>
            </w:r>
          </w:p>
        </w:tc>
        <w:tc>
          <w:tcPr>
            <w:tcW w:w="1082" w:type="dxa"/>
            <w:vMerge w:val="restart"/>
            <w:tcBorders>
              <w:bottom w:val="nil"/>
            </w:tcBorders>
            <w:vAlign w:val="top"/>
          </w:tcPr>
          <w:p>
            <w:pPr>
              <w:spacing w:before="117" w:line="322" w:lineRule="auto"/>
              <w:ind w:left="203" w:right="178" w:firstLine="10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行驶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总里程</w:t>
            </w:r>
          </w:p>
          <w:p>
            <w:pPr>
              <w:spacing w:line="223" w:lineRule="auto"/>
              <w:ind w:left="1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（</w:t>
            </w:r>
            <w:r>
              <w:rPr>
                <w:rFonts w:ascii="仿宋" w:hAnsi="仿宋" w:eastAsia="仿宋" w:cs="仿宋"/>
                <w:sz w:val="23"/>
                <w:szCs w:val="23"/>
              </w:rPr>
              <w:t>km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）</w:t>
            </w:r>
          </w:p>
        </w:tc>
        <w:tc>
          <w:tcPr>
            <w:tcW w:w="108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75" w:line="399" w:lineRule="exact"/>
              <w:ind w:left="30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position w:val="12"/>
                <w:sz w:val="23"/>
                <w:szCs w:val="23"/>
              </w:rPr>
              <w:t>使用</w:t>
            </w:r>
          </w:p>
          <w:p>
            <w:pPr>
              <w:spacing w:before="1" w:line="222" w:lineRule="auto"/>
              <w:ind w:left="3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性质</w:t>
            </w:r>
          </w:p>
        </w:tc>
        <w:tc>
          <w:tcPr>
            <w:tcW w:w="3244" w:type="dxa"/>
            <w:gridSpan w:val="4"/>
            <w:vAlign w:val="top"/>
          </w:tcPr>
          <w:p>
            <w:pPr>
              <w:spacing w:before="130" w:line="225" w:lineRule="auto"/>
              <w:ind w:left="127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价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z w:val="23"/>
                <w:szCs w:val="23"/>
              </w:rPr>
              <w:t>值</w:t>
            </w:r>
          </w:p>
        </w:tc>
        <w:tc>
          <w:tcPr>
            <w:tcW w:w="108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41" w:lineRule="auto"/>
            </w:pPr>
          </w:p>
          <w:p>
            <w:pPr>
              <w:spacing w:before="75" w:line="226" w:lineRule="auto"/>
              <w:ind w:left="7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处置形式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9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8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8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8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8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8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8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8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8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8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81" w:type="dxa"/>
            <w:vAlign w:val="top"/>
          </w:tcPr>
          <w:p>
            <w:pPr>
              <w:spacing w:before="298" w:line="226" w:lineRule="auto"/>
              <w:ind w:left="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账面原值</w:t>
            </w:r>
          </w:p>
        </w:tc>
        <w:tc>
          <w:tcPr>
            <w:tcW w:w="1082" w:type="dxa"/>
            <w:gridSpan w:val="2"/>
            <w:vAlign w:val="top"/>
          </w:tcPr>
          <w:p>
            <w:pPr>
              <w:spacing w:before="298" w:line="226" w:lineRule="auto"/>
              <w:ind w:left="6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账面净值</w:t>
            </w:r>
          </w:p>
        </w:tc>
        <w:tc>
          <w:tcPr>
            <w:tcW w:w="1081" w:type="dxa"/>
            <w:vAlign w:val="top"/>
          </w:tcPr>
          <w:p>
            <w:pPr>
              <w:spacing w:before="298" w:line="223" w:lineRule="auto"/>
              <w:ind w:left="6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评估价值</w:t>
            </w:r>
          </w:p>
        </w:tc>
        <w:tc>
          <w:tcPr>
            <w:tcW w:w="108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93" w:type="dxa"/>
            <w:vAlign w:val="top"/>
          </w:tcPr>
          <w:p>
            <w:pPr>
              <w:spacing w:before="189" w:line="185" w:lineRule="auto"/>
              <w:ind w:left="1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1081" w:type="dxa"/>
            <w:vAlign w:val="top"/>
          </w:tcPr>
          <w:p>
            <w:pPr>
              <w:pStyle w:val="6"/>
            </w:pPr>
          </w:p>
        </w:tc>
        <w:tc>
          <w:tcPr>
            <w:tcW w:w="108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81" w:type="dxa"/>
            <w:vAlign w:val="top"/>
          </w:tcPr>
          <w:p>
            <w:pPr>
              <w:pStyle w:val="6"/>
            </w:pPr>
          </w:p>
        </w:tc>
        <w:tc>
          <w:tcPr>
            <w:tcW w:w="1081" w:type="dxa"/>
            <w:vAlign w:val="top"/>
          </w:tcPr>
          <w:p>
            <w:pPr>
              <w:pStyle w:val="6"/>
            </w:pPr>
          </w:p>
        </w:tc>
        <w:tc>
          <w:tcPr>
            <w:tcW w:w="108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82" w:type="dxa"/>
            <w:vAlign w:val="top"/>
          </w:tcPr>
          <w:p>
            <w:pPr>
              <w:pStyle w:val="6"/>
            </w:pPr>
          </w:p>
        </w:tc>
        <w:tc>
          <w:tcPr>
            <w:tcW w:w="108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82" w:type="dxa"/>
            <w:vAlign w:val="top"/>
          </w:tcPr>
          <w:p>
            <w:pPr>
              <w:pStyle w:val="6"/>
            </w:pPr>
          </w:p>
        </w:tc>
        <w:tc>
          <w:tcPr>
            <w:tcW w:w="108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81" w:type="dxa"/>
            <w:vAlign w:val="top"/>
          </w:tcPr>
          <w:p>
            <w:pPr>
              <w:pStyle w:val="6"/>
            </w:pPr>
          </w:p>
        </w:tc>
        <w:tc>
          <w:tcPr>
            <w:tcW w:w="108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81" w:type="dxa"/>
            <w:vAlign w:val="top"/>
          </w:tcPr>
          <w:p>
            <w:pPr>
              <w:pStyle w:val="6"/>
            </w:pPr>
          </w:p>
        </w:tc>
        <w:tc>
          <w:tcPr>
            <w:tcW w:w="108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293" w:type="dxa"/>
            <w:vAlign w:val="top"/>
          </w:tcPr>
          <w:p>
            <w:pPr>
              <w:spacing w:before="190" w:line="185" w:lineRule="auto"/>
              <w:ind w:left="10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1081" w:type="dxa"/>
            <w:vAlign w:val="top"/>
          </w:tcPr>
          <w:p>
            <w:pPr>
              <w:pStyle w:val="6"/>
            </w:pPr>
          </w:p>
        </w:tc>
        <w:tc>
          <w:tcPr>
            <w:tcW w:w="108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81" w:type="dxa"/>
            <w:vAlign w:val="top"/>
          </w:tcPr>
          <w:p>
            <w:pPr>
              <w:pStyle w:val="6"/>
            </w:pPr>
          </w:p>
        </w:tc>
        <w:tc>
          <w:tcPr>
            <w:tcW w:w="1081" w:type="dxa"/>
            <w:vAlign w:val="top"/>
          </w:tcPr>
          <w:p>
            <w:pPr>
              <w:pStyle w:val="6"/>
            </w:pPr>
          </w:p>
        </w:tc>
        <w:tc>
          <w:tcPr>
            <w:tcW w:w="108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82" w:type="dxa"/>
            <w:vAlign w:val="top"/>
          </w:tcPr>
          <w:p>
            <w:pPr>
              <w:pStyle w:val="6"/>
            </w:pPr>
          </w:p>
        </w:tc>
        <w:tc>
          <w:tcPr>
            <w:tcW w:w="108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82" w:type="dxa"/>
            <w:vAlign w:val="top"/>
          </w:tcPr>
          <w:p>
            <w:pPr>
              <w:pStyle w:val="6"/>
            </w:pPr>
          </w:p>
        </w:tc>
        <w:tc>
          <w:tcPr>
            <w:tcW w:w="108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81" w:type="dxa"/>
            <w:vAlign w:val="top"/>
          </w:tcPr>
          <w:p>
            <w:pPr>
              <w:pStyle w:val="6"/>
            </w:pPr>
          </w:p>
        </w:tc>
        <w:tc>
          <w:tcPr>
            <w:tcW w:w="108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81" w:type="dxa"/>
            <w:vAlign w:val="top"/>
          </w:tcPr>
          <w:p>
            <w:pPr>
              <w:pStyle w:val="6"/>
            </w:pPr>
          </w:p>
        </w:tc>
        <w:tc>
          <w:tcPr>
            <w:tcW w:w="108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293" w:type="dxa"/>
            <w:vAlign w:val="top"/>
          </w:tcPr>
          <w:p>
            <w:pPr>
              <w:spacing w:before="190" w:line="187" w:lineRule="auto"/>
              <w:ind w:left="1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1081" w:type="dxa"/>
            <w:vAlign w:val="top"/>
          </w:tcPr>
          <w:p>
            <w:pPr>
              <w:pStyle w:val="6"/>
            </w:pPr>
          </w:p>
        </w:tc>
        <w:tc>
          <w:tcPr>
            <w:tcW w:w="108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81" w:type="dxa"/>
            <w:vAlign w:val="top"/>
          </w:tcPr>
          <w:p>
            <w:pPr>
              <w:pStyle w:val="6"/>
            </w:pPr>
          </w:p>
        </w:tc>
        <w:tc>
          <w:tcPr>
            <w:tcW w:w="1081" w:type="dxa"/>
            <w:vAlign w:val="top"/>
          </w:tcPr>
          <w:p>
            <w:pPr>
              <w:pStyle w:val="6"/>
            </w:pPr>
          </w:p>
        </w:tc>
        <w:tc>
          <w:tcPr>
            <w:tcW w:w="108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82" w:type="dxa"/>
            <w:vAlign w:val="top"/>
          </w:tcPr>
          <w:p>
            <w:pPr>
              <w:pStyle w:val="6"/>
            </w:pPr>
          </w:p>
        </w:tc>
        <w:tc>
          <w:tcPr>
            <w:tcW w:w="108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82" w:type="dxa"/>
            <w:vAlign w:val="top"/>
          </w:tcPr>
          <w:p>
            <w:pPr>
              <w:pStyle w:val="6"/>
            </w:pPr>
          </w:p>
        </w:tc>
        <w:tc>
          <w:tcPr>
            <w:tcW w:w="108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81" w:type="dxa"/>
            <w:vAlign w:val="top"/>
          </w:tcPr>
          <w:p>
            <w:pPr>
              <w:pStyle w:val="6"/>
            </w:pPr>
          </w:p>
        </w:tc>
        <w:tc>
          <w:tcPr>
            <w:tcW w:w="108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81" w:type="dxa"/>
            <w:vAlign w:val="top"/>
          </w:tcPr>
          <w:p>
            <w:pPr>
              <w:pStyle w:val="6"/>
            </w:pPr>
          </w:p>
        </w:tc>
        <w:tc>
          <w:tcPr>
            <w:tcW w:w="108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7" w:hRule="atLeast"/>
        </w:trPr>
        <w:tc>
          <w:tcPr>
            <w:tcW w:w="2396" w:type="dxa"/>
            <w:gridSpan w:val="3"/>
            <w:vAlign w:val="top"/>
          </w:tcPr>
          <w:p>
            <w:pPr>
              <w:spacing w:before="119" w:line="224" w:lineRule="auto"/>
              <w:ind w:left="1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主管部门审核意见：</w:t>
            </w: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spacing w:before="75" w:line="401" w:lineRule="exact"/>
              <w:jc w:val="righ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9"/>
                <w:position w:val="12"/>
                <w:sz w:val="23"/>
                <w:szCs w:val="23"/>
              </w:rPr>
              <w:t>（审核人签名、</w:t>
            </w:r>
            <w:r>
              <w:rPr>
                <w:rFonts w:ascii="仿宋" w:hAnsi="仿宋" w:eastAsia="仿宋" w:cs="仿宋"/>
                <w:spacing w:val="52"/>
                <w:position w:val="1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position w:val="12"/>
                <w:sz w:val="23"/>
                <w:szCs w:val="23"/>
              </w:rPr>
              <w:t>公章）</w:t>
            </w:r>
          </w:p>
          <w:p>
            <w:pPr>
              <w:spacing w:line="223" w:lineRule="auto"/>
              <w:ind w:left="6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月</w:t>
            </w:r>
            <w:r>
              <w:rPr>
                <w:rFonts w:ascii="仿宋" w:hAnsi="仿宋" w:eastAsia="仿宋" w:cs="仿宋"/>
                <w:spacing w:val="26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日</w:t>
            </w:r>
          </w:p>
        </w:tc>
        <w:tc>
          <w:tcPr>
            <w:tcW w:w="2390" w:type="dxa"/>
            <w:gridSpan w:val="4"/>
            <w:vAlign w:val="top"/>
          </w:tcPr>
          <w:p>
            <w:pPr>
              <w:spacing w:before="115" w:line="401" w:lineRule="exact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position w:val="12"/>
                <w:sz w:val="23"/>
                <w:szCs w:val="23"/>
              </w:rPr>
              <w:t>公安交警部门审核意</w:t>
            </w:r>
          </w:p>
          <w:p>
            <w:pPr>
              <w:spacing w:line="222" w:lineRule="auto"/>
              <w:ind w:left="13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见：报废车辆需签署</w:t>
            </w: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75" w:line="401" w:lineRule="exact"/>
              <w:jc w:val="righ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9"/>
                <w:position w:val="12"/>
                <w:sz w:val="23"/>
                <w:szCs w:val="23"/>
              </w:rPr>
              <w:t>（审核人签名、</w:t>
            </w:r>
            <w:r>
              <w:rPr>
                <w:rFonts w:ascii="仿宋" w:hAnsi="仿宋" w:eastAsia="仿宋" w:cs="仿宋"/>
                <w:spacing w:val="49"/>
                <w:position w:val="1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position w:val="12"/>
                <w:sz w:val="23"/>
                <w:szCs w:val="23"/>
              </w:rPr>
              <w:t>公章）</w:t>
            </w:r>
          </w:p>
          <w:p>
            <w:pPr>
              <w:spacing w:line="223" w:lineRule="auto"/>
              <w:ind w:left="6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月</w:t>
            </w:r>
            <w:r>
              <w:rPr>
                <w:rFonts w:ascii="仿宋" w:hAnsi="仿宋" w:eastAsia="仿宋" w:cs="仿宋"/>
                <w:spacing w:val="25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日</w:t>
            </w:r>
          </w:p>
        </w:tc>
        <w:tc>
          <w:tcPr>
            <w:tcW w:w="2392" w:type="dxa"/>
            <w:gridSpan w:val="3"/>
            <w:vAlign w:val="top"/>
          </w:tcPr>
          <w:p>
            <w:pPr>
              <w:spacing w:before="118" w:line="225" w:lineRule="auto"/>
              <w:ind w:left="25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市机关事务管理局</w:t>
            </w:r>
          </w:p>
          <w:p>
            <w:pPr>
              <w:spacing w:before="117" w:line="401" w:lineRule="exact"/>
              <w:ind w:left="36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position w:val="12"/>
                <w:sz w:val="23"/>
                <w:szCs w:val="23"/>
              </w:rPr>
              <w:t>公务用车管理科</w:t>
            </w:r>
          </w:p>
          <w:p>
            <w:pPr>
              <w:spacing w:line="225" w:lineRule="auto"/>
              <w:ind w:left="6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审核意见：</w:t>
            </w: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spacing w:before="75" w:line="401" w:lineRule="exact"/>
              <w:jc w:val="righ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9"/>
                <w:position w:val="12"/>
                <w:sz w:val="23"/>
                <w:szCs w:val="23"/>
              </w:rPr>
              <w:t>（审核人签名、</w:t>
            </w:r>
            <w:r>
              <w:rPr>
                <w:rFonts w:ascii="仿宋" w:hAnsi="仿宋" w:eastAsia="仿宋" w:cs="仿宋"/>
                <w:spacing w:val="51"/>
                <w:position w:val="1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position w:val="12"/>
                <w:sz w:val="23"/>
                <w:szCs w:val="23"/>
              </w:rPr>
              <w:t>公章）</w:t>
            </w:r>
          </w:p>
          <w:p>
            <w:pPr>
              <w:spacing w:line="223" w:lineRule="auto"/>
              <w:ind w:left="6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月</w:t>
            </w:r>
            <w:r>
              <w:rPr>
                <w:rFonts w:ascii="仿宋" w:hAnsi="仿宋" w:eastAsia="仿宋" w:cs="仿宋"/>
                <w:spacing w:val="25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日</w:t>
            </w:r>
          </w:p>
        </w:tc>
        <w:tc>
          <w:tcPr>
            <w:tcW w:w="2392" w:type="dxa"/>
            <w:gridSpan w:val="3"/>
            <w:vAlign w:val="top"/>
          </w:tcPr>
          <w:p>
            <w:pPr>
              <w:spacing w:before="119" w:line="272" w:lineRule="auto"/>
              <w:ind w:left="354" w:right="234" w:hanging="10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市机关事务管理局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领导审批意见：</w:t>
            </w: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75" w:line="401" w:lineRule="exact"/>
              <w:jc w:val="righ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9"/>
                <w:position w:val="12"/>
                <w:sz w:val="23"/>
                <w:szCs w:val="23"/>
              </w:rPr>
              <w:t>（审批人签名、</w:t>
            </w:r>
            <w:r>
              <w:rPr>
                <w:rFonts w:ascii="仿宋" w:hAnsi="仿宋" w:eastAsia="仿宋" w:cs="仿宋"/>
                <w:spacing w:val="50"/>
                <w:position w:val="1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position w:val="12"/>
                <w:sz w:val="23"/>
                <w:szCs w:val="23"/>
              </w:rPr>
              <w:t>公章）</w:t>
            </w:r>
          </w:p>
          <w:p>
            <w:pPr>
              <w:spacing w:line="223" w:lineRule="auto"/>
              <w:ind w:left="6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月</w:t>
            </w:r>
            <w:r>
              <w:rPr>
                <w:rFonts w:ascii="仿宋" w:hAnsi="仿宋" w:eastAsia="仿宋" w:cs="仿宋"/>
                <w:spacing w:val="25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日</w:t>
            </w:r>
          </w:p>
        </w:tc>
        <w:tc>
          <w:tcPr>
            <w:tcW w:w="2391" w:type="dxa"/>
            <w:gridSpan w:val="3"/>
            <w:vAlign w:val="top"/>
          </w:tcPr>
          <w:p>
            <w:pPr>
              <w:spacing w:before="119" w:line="272" w:lineRule="auto"/>
              <w:ind w:left="618" w:right="112" w:hanging="48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市财政局资产管理科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审核意见：</w:t>
            </w: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75" w:line="401" w:lineRule="exact"/>
              <w:jc w:val="righ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9"/>
                <w:position w:val="12"/>
                <w:sz w:val="23"/>
                <w:szCs w:val="23"/>
              </w:rPr>
              <w:t>（审核人签名、</w:t>
            </w:r>
            <w:r>
              <w:rPr>
                <w:rFonts w:ascii="仿宋" w:hAnsi="仿宋" w:eastAsia="仿宋" w:cs="仿宋"/>
                <w:spacing w:val="49"/>
                <w:position w:val="1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position w:val="12"/>
                <w:sz w:val="23"/>
                <w:szCs w:val="23"/>
              </w:rPr>
              <w:t>公章）</w:t>
            </w:r>
          </w:p>
          <w:p>
            <w:pPr>
              <w:spacing w:line="223" w:lineRule="auto"/>
              <w:ind w:left="6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月</w:t>
            </w:r>
            <w:r>
              <w:rPr>
                <w:rFonts w:ascii="仿宋" w:hAnsi="仿宋" w:eastAsia="仿宋" w:cs="仿宋"/>
                <w:spacing w:val="25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日</w:t>
            </w:r>
          </w:p>
        </w:tc>
        <w:tc>
          <w:tcPr>
            <w:tcW w:w="2397" w:type="dxa"/>
            <w:gridSpan w:val="3"/>
            <w:vAlign w:val="top"/>
          </w:tcPr>
          <w:p>
            <w:pPr>
              <w:spacing w:before="119" w:line="272" w:lineRule="auto"/>
              <w:ind w:left="620" w:right="476" w:hanging="1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市财政局领导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审批意见：</w:t>
            </w: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75" w:line="401" w:lineRule="exact"/>
              <w:ind w:left="53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position w:val="12"/>
                <w:sz w:val="23"/>
                <w:szCs w:val="23"/>
              </w:rPr>
              <w:t>（审批人签名）</w:t>
            </w:r>
          </w:p>
          <w:p>
            <w:pPr>
              <w:spacing w:line="223" w:lineRule="auto"/>
              <w:ind w:left="9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月</w:t>
            </w:r>
            <w:r>
              <w:rPr>
                <w:rFonts w:ascii="仿宋" w:hAnsi="仿宋" w:eastAsia="仿宋" w:cs="仿宋"/>
                <w:spacing w:val="33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日</w:t>
            </w:r>
          </w:p>
        </w:tc>
      </w:tr>
    </w:tbl>
    <w:p>
      <w:pPr>
        <w:pStyle w:val="2"/>
        <w:spacing w:before="113" w:line="224" w:lineRule="auto"/>
        <w:ind w:left="157"/>
        <w:rPr>
          <w:sz w:val="23"/>
          <w:szCs w:val="23"/>
        </w:rPr>
      </w:pPr>
      <w:r>
        <w:rPr>
          <w:spacing w:val="5"/>
          <w:sz w:val="23"/>
          <w:szCs w:val="23"/>
        </w:rPr>
        <w:t>申报单位负责人（签章</w:t>
      </w:r>
      <w:r>
        <w:rPr>
          <w:spacing w:val="-46"/>
          <w:sz w:val="23"/>
          <w:szCs w:val="23"/>
        </w:rPr>
        <w:t>）：</w:t>
      </w:r>
      <w:r>
        <w:rPr>
          <w:spacing w:val="5"/>
          <w:sz w:val="23"/>
          <w:szCs w:val="23"/>
        </w:rPr>
        <w:t xml:space="preserve">         申报单位财务管理部门负责人（签章</w:t>
      </w:r>
      <w:r>
        <w:rPr>
          <w:spacing w:val="-46"/>
          <w:sz w:val="23"/>
          <w:szCs w:val="23"/>
        </w:rPr>
        <w:t>）：</w:t>
      </w:r>
      <w:r>
        <w:rPr>
          <w:spacing w:val="14"/>
          <w:sz w:val="23"/>
          <w:szCs w:val="23"/>
        </w:rPr>
        <w:t xml:space="preserve">       </w:t>
      </w:r>
      <w:r>
        <w:rPr>
          <w:spacing w:val="5"/>
          <w:sz w:val="23"/>
          <w:szCs w:val="23"/>
        </w:rPr>
        <w:t>申报单位资产管理部门负责人（签章</w:t>
      </w:r>
      <w:r>
        <w:rPr>
          <w:spacing w:val="-46"/>
          <w:sz w:val="23"/>
          <w:szCs w:val="23"/>
        </w:rPr>
        <w:t>）：</w:t>
      </w:r>
    </w:p>
    <w:p>
      <w:pPr>
        <w:pStyle w:val="2"/>
        <w:spacing w:before="138" w:line="214" w:lineRule="auto"/>
        <w:ind w:left="395"/>
        <w:rPr>
          <w:sz w:val="22"/>
          <w:szCs w:val="22"/>
        </w:rPr>
      </w:pPr>
      <w:r>
        <w:rPr>
          <w:spacing w:val="-2"/>
          <w:sz w:val="22"/>
          <w:szCs w:val="22"/>
        </w:rPr>
        <w:t>注： 此表为处置批复书附件，无财政局行政事业单位国有资产处置批复书，此表不能单独做为核增（减）资产、</w:t>
      </w:r>
      <w:r>
        <w:rPr>
          <w:spacing w:val="-3"/>
          <w:sz w:val="22"/>
          <w:szCs w:val="22"/>
        </w:rPr>
        <w:t>资产转户、财务做帐依据。</w:t>
      </w:r>
    </w:p>
    <w:p>
      <w:pPr>
        <w:spacing w:line="214" w:lineRule="auto"/>
        <w:rPr>
          <w:sz w:val="22"/>
          <w:szCs w:val="22"/>
        </w:rPr>
        <w:sectPr>
          <w:footerReference r:id="rId16" w:type="default"/>
          <w:pgSz w:w="16838" w:h="11906"/>
          <w:pgMar w:top="400" w:right="1147" w:bottom="1122" w:left="1327" w:header="0" w:footer="849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01" w:line="230" w:lineRule="auto"/>
        <w:ind w:left="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5</w:t>
      </w:r>
    </w:p>
    <w:p>
      <w:pPr>
        <w:spacing w:before="289" w:line="600" w:lineRule="exact"/>
        <w:ind w:right="80"/>
        <w:jc w:val="right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position w:val="21"/>
          <w:sz w:val="31"/>
          <w:szCs w:val="31"/>
        </w:rPr>
        <w:t>XX</w:t>
      </w:r>
      <w:r>
        <w:rPr>
          <w:rFonts w:ascii="楷体" w:hAnsi="楷体" w:eastAsia="楷体" w:cs="楷体"/>
          <w:spacing w:val="-52"/>
          <w:position w:val="2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position w:val="21"/>
          <w:sz w:val="31"/>
          <w:szCs w:val="31"/>
        </w:rPr>
        <w:t>字〔202X〕X</w:t>
      </w:r>
      <w:r>
        <w:rPr>
          <w:rFonts w:ascii="楷体" w:hAnsi="楷体" w:eastAsia="楷体" w:cs="楷体"/>
          <w:spacing w:val="-55"/>
          <w:position w:val="2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position w:val="21"/>
          <w:sz w:val="31"/>
          <w:szCs w:val="31"/>
        </w:rPr>
        <w:t>号</w:t>
      </w:r>
    </w:p>
    <w:p>
      <w:pPr>
        <w:spacing w:line="215" w:lineRule="auto"/>
        <w:ind w:left="876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行政事业单位国有资产处置批复书</w:t>
      </w:r>
    </w:p>
    <w:p>
      <w:pPr>
        <w:spacing w:line="349" w:lineRule="auto"/>
        <w:rPr>
          <w:rFonts w:ascii="Arial"/>
          <w:sz w:val="21"/>
        </w:rPr>
      </w:pPr>
    </w:p>
    <w:p>
      <w:pPr>
        <w:spacing w:line="349" w:lineRule="auto"/>
        <w:rPr>
          <w:rFonts w:ascii="Arial"/>
          <w:sz w:val="21"/>
        </w:rPr>
      </w:pPr>
    </w:p>
    <w:p>
      <w:pPr>
        <w:pStyle w:val="2"/>
        <w:tabs>
          <w:tab w:val="left" w:pos="1773"/>
        </w:tabs>
        <w:spacing w:before="101" w:line="146" w:lineRule="auto"/>
        <w:ind w:left="14"/>
      </w:pPr>
      <w:r>
        <w:rPr>
          <w:u w:val="single" w:color="auto"/>
        </w:rPr>
        <w:tab/>
      </w:r>
      <w:r>
        <w:rPr>
          <w:spacing w:val="-124"/>
        </w:rPr>
        <w:t xml:space="preserve"> </w:t>
      </w:r>
      <w:r>
        <w:t>:</w:t>
      </w:r>
    </w:p>
    <w:p>
      <w:pPr>
        <w:pStyle w:val="2"/>
        <w:spacing w:before="190" w:line="562" w:lineRule="exact"/>
        <w:ind w:left="671"/>
      </w:pPr>
      <w:r>
        <w:rPr>
          <w:spacing w:val="5"/>
          <w:position w:val="18"/>
        </w:rPr>
        <w:t>你单位《关于处置部分国有资产的请示》</w:t>
      </w:r>
      <w:r>
        <w:rPr>
          <w:spacing w:val="-69"/>
          <w:position w:val="18"/>
        </w:rPr>
        <w:t xml:space="preserve"> </w:t>
      </w:r>
      <w:r>
        <w:rPr>
          <w:spacing w:val="5"/>
          <w:position w:val="18"/>
        </w:rPr>
        <w:t>已收悉。经审</w:t>
      </w:r>
    </w:p>
    <w:p>
      <w:pPr>
        <w:pStyle w:val="2"/>
        <w:spacing w:line="222" w:lineRule="auto"/>
        <w:jc w:val="right"/>
      </w:pPr>
      <w:r>
        <w:rPr>
          <w:spacing w:val="-10"/>
        </w:rPr>
        <w:t>核，同意</w:t>
      </w:r>
      <w:r>
        <w:rPr>
          <w:spacing w:val="1"/>
          <w:u w:val="single" w:color="auto"/>
        </w:rPr>
        <w:t xml:space="preserve">                                            </w:t>
      </w:r>
      <w:r>
        <w:rPr>
          <w:spacing w:val="-10"/>
        </w:rPr>
        <w:t>。</w:t>
      </w:r>
    </w:p>
    <w:p>
      <w:pPr>
        <w:pStyle w:val="2"/>
        <w:spacing w:before="187" w:line="220" w:lineRule="auto"/>
        <w:ind w:left="667"/>
      </w:pPr>
      <w:r>
        <w:rPr>
          <w:spacing w:val="9"/>
        </w:rPr>
        <w:t>请按《邵阳市市级行政事业单位国有资产处置管理办</w:t>
      </w:r>
    </w:p>
    <w:p>
      <w:pPr>
        <w:pStyle w:val="2"/>
        <w:spacing w:before="188" w:line="334" w:lineRule="auto"/>
        <w:ind w:left="39" w:right="91" w:hanging="2"/>
      </w:pPr>
      <w:r>
        <w:rPr>
          <w:spacing w:val="-1"/>
        </w:rPr>
        <w:t>法》（邵财资〔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2023</w:t>
      </w:r>
      <w:r>
        <w:rPr>
          <w:spacing w:val="-1"/>
        </w:rPr>
        <w:t>〕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2</w:t>
      </w:r>
      <w:r>
        <w:rPr>
          <w:rFonts w:ascii="Times New Roman" w:hAnsi="Times New Roman" w:eastAsia="Times New Roman" w:cs="Times New Roman"/>
          <w:spacing w:val="43"/>
          <w:sz w:val="30"/>
          <w:szCs w:val="30"/>
        </w:rPr>
        <w:t xml:space="preserve"> </w:t>
      </w:r>
      <w:r>
        <w:rPr>
          <w:spacing w:val="-1"/>
        </w:rPr>
        <w:t>号）有关规定办理具体事宜和调整相</w:t>
      </w:r>
      <w:r>
        <w:t xml:space="preserve"> </w:t>
      </w:r>
      <w:r>
        <w:rPr>
          <w:spacing w:val="8"/>
        </w:rPr>
        <w:t>关会计账目、变更资产登记台账。无偿划转的国有资产调入</w:t>
      </w:r>
    </w:p>
    <w:p>
      <w:pPr>
        <w:pStyle w:val="2"/>
        <w:spacing w:line="220" w:lineRule="auto"/>
        <w:ind w:left="34"/>
      </w:pPr>
      <w:r>
        <w:rPr>
          <w:spacing w:val="8"/>
        </w:rPr>
        <w:t>单位请按此批复书调整会计账目。资产处置收入上缴国库。</w:t>
      </w:r>
    </w:p>
    <w:p>
      <w:pPr>
        <w:pStyle w:val="2"/>
        <w:spacing w:before="190" w:line="561" w:lineRule="exact"/>
        <w:ind w:left="666"/>
      </w:pPr>
      <w:r>
        <w:rPr>
          <w:spacing w:val="23"/>
          <w:position w:val="18"/>
        </w:rPr>
        <w:t>核准处置资产详见市级行政事业单位国有资</w:t>
      </w:r>
      <w:r>
        <w:rPr>
          <w:spacing w:val="22"/>
          <w:position w:val="18"/>
        </w:rPr>
        <w:t>产处置申</w:t>
      </w:r>
    </w:p>
    <w:p>
      <w:pPr>
        <w:pStyle w:val="2"/>
        <w:spacing w:before="1" w:line="220" w:lineRule="auto"/>
        <w:ind w:left="26"/>
      </w:pPr>
      <w:r>
        <w:rPr>
          <w:spacing w:val="-12"/>
        </w:rPr>
        <w:t>请表（附后）。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101" w:line="560" w:lineRule="exact"/>
        <w:ind w:left="5786"/>
      </w:pPr>
      <w:r>
        <w:rPr>
          <w:position w:val="18"/>
        </w:rPr>
        <w:t>XX</w:t>
      </w:r>
      <w:r>
        <w:rPr>
          <w:spacing w:val="-53"/>
          <w:position w:val="18"/>
        </w:rPr>
        <w:t xml:space="preserve"> </w:t>
      </w:r>
      <w:r>
        <w:rPr>
          <w:spacing w:val="4"/>
          <w:position w:val="18"/>
        </w:rPr>
        <w:t>局(委、办）</w:t>
      </w:r>
    </w:p>
    <w:p>
      <w:pPr>
        <w:pStyle w:val="2"/>
        <w:spacing w:line="222" w:lineRule="auto"/>
        <w:ind w:left="5786"/>
      </w:pPr>
      <w:r>
        <w:rPr>
          <w:spacing w:val="-7"/>
        </w:rPr>
        <w:t>XX</w:t>
      </w:r>
      <w:r>
        <w:rPr>
          <w:spacing w:val="-51"/>
        </w:rPr>
        <w:t xml:space="preserve"> </w:t>
      </w:r>
      <w:r>
        <w:rPr>
          <w:spacing w:val="-7"/>
        </w:rPr>
        <w:t>年</w:t>
      </w:r>
      <w:r>
        <w:rPr>
          <w:spacing w:val="-63"/>
        </w:rPr>
        <w:t xml:space="preserve"> </w:t>
      </w:r>
      <w:r>
        <w:rPr>
          <w:spacing w:val="-7"/>
        </w:rPr>
        <w:t>X</w:t>
      </w:r>
      <w:r>
        <w:rPr>
          <w:spacing w:val="-46"/>
        </w:rPr>
        <w:t xml:space="preserve"> </w:t>
      </w:r>
      <w:r>
        <w:rPr>
          <w:spacing w:val="-7"/>
        </w:rPr>
        <w:t>月</w:t>
      </w:r>
      <w:r>
        <w:rPr>
          <w:spacing w:val="-61"/>
        </w:rPr>
        <w:t xml:space="preserve"> </w:t>
      </w:r>
      <w:r>
        <w:rPr>
          <w:spacing w:val="-7"/>
        </w:rPr>
        <w:t>X 日</w:t>
      </w:r>
    </w:p>
    <w:p>
      <w:pPr>
        <w:spacing w:line="222" w:lineRule="auto"/>
        <w:sectPr>
          <w:footerReference r:id="rId17" w:type="default"/>
          <w:pgSz w:w="11906" w:h="16838"/>
          <w:pgMar w:top="400" w:right="1710" w:bottom="1122" w:left="1785" w:header="0" w:footer="849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01" w:line="230" w:lineRule="auto"/>
        <w:ind w:left="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6</w:t>
      </w:r>
    </w:p>
    <w:p>
      <w:pPr>
        <w:spacing w:before="232" w:line="215" w:lineRule="auto"/>
        <w:ind w:left="652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关于开具国有资产处置收入票据的函</w:t>
      </w: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40"/>
      </w:pPr>
      <w:r>
        <w:rPr>
          <w:spacing w:val="-10"/>
        </w:rPr>
        <w:t>市财政局：</w:t>
      </w:r>
    </w:p>
    <w:p>
      <w:pPr>
        <w:pStyle w:val="2"/>
        <w:spacing w:before="191" w:line="340" w:lineRule="auto"/>
        <w:ind w:left="19" w:firstLine="622"/>
      </w:pPr>
      <w:r>
        <w:rPr>
          <w:spacing w:val="13"/>
          <w:sz w:val="30"/>
          <w:szCs w:val="30"/>
        </w:rPr>
        <w:t>根据《邵阳市市级行政事业单位国有资产处置管理办法》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（邵财资〔</w:t>
      </w:r>
      <w:r>
        <w:rPr>
          <w:rFonts w:ascii="Times New Roman" w:hAnsi="Times New Roman" w:eastAsia="Times New Roman" w:cs="Times New Roman"/>
          <w:sz w:val="30"/>
          <w:szCs w:val="30"/>
        </w:rPr>
        <w:t>2023</w:t>
      </w:r>
      <w:r>
        <w:rPr>
          <w:sz w:val="30"/>
          <w:szCs w:val="30"/>
        </w:rPr>
        <w:t>〕</w:t>
      </w:r>
      <w:r>
        <w:rPr>
          <w:rFonts w:ascii="Times New Roman" w:hAnsi="Times New Roman" w:eastAsia="Times New Roman" w:cs="Times New Roman"/>
          <w:sz w:val="30"/>
          <w:szCs w:val="30"/>
        </w:rPr>
        <w:t>2</w:t>
      </w:r>
      <w:r>
        <w:rPr>
          <w:rFonts w:ascii="Times New Roman" w:hAnsi="Times New Roman" w:eastAsia="Times New Roman" w:cs="Times New Roman"/>
          <w:spacing w:val="29"/>
          <w:w w:val="101"/>
          <w:sz w:val="30"/>
          <w:szCs w:val="30"/>
        </w:rPr>
        <w:t xml:space="preserve"> </w:t>
      </w:r>
      <w:r>
        <w:rPr>
          <w:sz w:val="30"/>
          <w:szCs w:val="30"/>
        </w:rPr>
        <w:t>号）</w:t>
      </w:r>
      <w:r>
        <w:rPr>
          <w:spacing w:val="-54"/>
          <w:sz w:val="30"/>
          <w:szCs w:val="30"/>
        </w:rPr>
        <w:t xml:space="preserve"> </w:t>
      </w:r>
      <w:r>
        <w:rPr>
          <w:sz w:val="30"/>
          <w:szCs w:val="30"/>
        </w:rPr>
        <w:t xml:space="preserve">有关规定， 经主管部门批准，我单位  </w:t>
      </w:r>
      <w:r>
        <w:rPr>
          <w:spacing w:val="7"/>
          <w:sz w:val="30"/>
          <w:szCs w:val="30"/>
        </w:rPr>
        <w:t>已对符合处置条件的部分国有资产进行公开处置。处置资产基</w:t>
      </w:r>
      <w:r>
        <w:rPr>
          <w:spacing w:val="6"/>
          <w:sz w:val="30"/>
          <w:szCs w:val="30"/>
        </w:rPr>
        <w:t xml:space="preserve">  </w:t>
      </w:r>
      <w:r>
        <w:rPr>
          <w:spacing w:val="4"/>
          <w:sz w:val="30"/>
          <w:szCs w:val="30"/>
        </w:rPr>
        <w:t>本情况： 名称</w:t>
      </w:r>
      <w:r>
        <w:rPr>
          <w:rFonts w:ascii="Times New Roman" w:hAnsi="Times New Roman" w:eastAsia="Times New Roman" w:cs="Times New Roman"/>
          <w:spacing w:val="4"/>
          <w:sz w:val="30"/>
          <w:szCs w:val="30"/>
        </w:rPr>
        <w:t>×××</w:t>
      </w:r>
      <w:r>
        <w:rPr>
          <w:rFonts w:ascii="Times New Roman" w:hAnsi="Times New Roman" w:eastAsia="Times New Roman" w:cs="Times New Roman"/>
          <w:spacing w:val="-23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,数量</w:t>
      </w:r>
      <w:r>
        <w:rPr>
          <w:rFonts w:ascii="Times New Roman" w:hAnsi="Times New Roman" w:eastAsia="Times New Roman" w:cs="Times New Roman"/>
          <w:spacing w:val="4"/>
          <w:sz w:val="30"/>
          <w:szCs w:val="30"/>
        </w:rPr>
        <w:t>×××</w:t>
      </w:r>
      <w:r>
        <w:rPr>
          <w:rFonts w:ascii="Times New Roman" w:hAnsi="Times New Roman" w:eastAsia="Times New Roman" w:cs="Times New Roman"/>
          <w:spacing w:val="-30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,账面原值</w:t>
      </w:r>
      <w:r>
        <w:rPr>
          <w:rFonts w:ascii="Times New Roman" w:hAnsi="Times New Roman" w:eastAsia="Times New Roman" w:cs="Times New Roman"/>
          <w:spacing w:val="4"/>
          <w:sz w:val="30"/>
          <w:szCs w:val="30"/>
        </w:rPr>
        <w:t>×××</w:t>
      </w:r>
      <w:r>
        <w:rPr>
          <w:rFonts w:ascii="Times New Roman" w:hAnsi="Times New Roman" w:eastAsia="Times New Roman" w:cs="Times New Roman"/>
          <w:spacing w:val="-49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元， 现值</w:t>
      </w:r>
      <w:r>
        <w:rPr>
          <w:rFonts w:ascii="Times New Roman" w:hAnsi="Times New Roman" w:eastAsia="Times New Roman" w:cs="Times New Roman"/>
          <w:spacing w:val="4"/>
          <w:sz w:val="30"/>
          <w:szCs w:val="30"/>
        </w:rPr>
        <w:t>×××</w:t>
      </w:r>
      <w:r>
        <w:rPr>
          <w:rFonts w:ascii="Times New Roman" w:hAnsi="Times New Roman" w:eastAsia="Times New Roman" w:cs="Times New Roman"/>
          <w:spacing w:val="-50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 xml:space="preserve">元。 </w:t>
      </w:r>
      <w:r>
        <w:rPr>
          <w:spacing w:val="7"/>
          <w:sz w:val="30"/>
          <w:szCs w:val="30"/>
        </w:rPr>
        <w:t>处置方式：无偿划转、对外捐赠、转让、置换、报废、损失核</w:t>
      </w:r>
      <w:r>
        <w:rPr>
          <w:spacing w:val="6"/>
          <w:sz w:val="30"/>
          <w:szCs w:val="30"/>
        </w:rPr>
        <w:t xml:space="preserve">  </w:t>
      </w:r>
      <w:r>
        <w:rPr>
          <w:spacing w:val="12"/>
          <w:sz w:val="30"/>
          <w:szCs w:val="30"/>
        </w:rPr>
        <w:t xml:space="preserve">销等。处置总收入  </w:t>
      </w:r>
      <w:r>
        <w:rPr>
          <w:spacing w:val="12"/>
        </w:rPr>
        <w:t>元。按照政府非税收入管</w:t>
      </w:r>
      <w:r>
        <w:rPr>
          <w:spacing w:val="11"/>
        </w:rPr>
        <w:t>理有关规定，</w:t>
      </w:r>
      <w:r>
        <w:t xml:space="preserve">  </w:t>
      </w:r>
      <w:r>
        <w:rPr>
          <w:spacing w:val="9"/>
        </w:rPr>
        <w:t>国有资产处置收入应上缴国库，请你单位开具湖南省非税收</w:t>
      </w:r>
      <w:r>
        <w:rPr>
          <w:spacing w:val="2"/>
        </w:rPr>
        <w:t xml:space="preserve">  </w:t>
      </w:r>
      <w:r>
        <w:rPr>
          <w:spacing w:val="9"/>
        </w:rPr>
        <w:t>入缴款通知单（缴款人全称:</w:t>
      </w:r>
      <w:r>
        <w:t>XX</w:t>
      </w:r>
      <w:r>
        <w:rPr>
          <w:spacing w:val="9"/>
        </w:rPr>
        <w:t>，缴款人统一社会信用</w:t>
      </w:r>
      <w:r>
        <w:rPr>
          <w:spacing w:val="8"/>
        </w:rPr>
        <w:t>代码：</w:t>
      </w:r>
    </w:p>
    <w:p>
      <w:pPr>
        <w:pStyle w:val="2"/>
        <w:spacing w:line="236" w:lineRule="auto"/>
        <w:ind w:left="26"/>
      </w:pPr>
      <w:r>
        <w:rPr>
          <w:spacing w:val="-30"/>
        </w:rPr>
        <w:t>XX）。</w:t>
      </w:r>
    </w:p>
    <w:p>
      <w:pPr>
        <w:pStyle w:val="2"/>
        <w:spacing w:before="165" w:line="223" w:lineRule="auto"/>
        <w:ind w:left="671"/>
      </w:pPr>
      <w:r>
        <w:rPr>
          <w:spacing w:val="-5"/>
        </w:rPr>
        <w:t>特此函告。</w:t>
      </w:r>
    </w:p>
    <w:p>
      <w:pPr>
        <w:spacing w:line="319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pStyle w:val="2"/>
        <w:spacing w:before="101" w:line="221" w:lineRule="auto"/>
        <w:ind w:left="690"/>
      </w:pPr>
      <w:r>
        <w:rPr>
          <w:spacing w:val="7"/>
        </w:rPr>
        <w:t>附件：行政事业单位国有资产处置批复书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pStyle w:val="2"/>
        <w:spacing w:before="101" w:line="221" w:lineRule="auto"/>
        <w:ind w:left="6060"/>
      </w:pPr>
      <w:r>
        <w:rPr>
          <w:spacing w:val="-2"/>
        </w:rPr>
        <w:t>XX</w:t>
      </w:r>
      <w:r>
        <w:rPr>
          <w:spacing w:val="-54"/>
        </w:rPr>
        <w:t xml:space="preserve"> </w:t>
      </w:r>
      <w:r>
        <w:rPr>
          <w:spacing w:val="-2"/>
        </w:rPr>
        <w:t>单位</w:t>
      </w:r>
    </w:p>
    <w:p>
      <w:pPr>
        <w:pStyle w:val="2"/>
        <w:spacing w:before="170" w:line="222" w:lineRule="auto"/>
        <w:ind w:left="5625"/>
      </w:pPr>
      <w:r>
        <w:rPr>
          <w:spacing w:val="-7"/>
        </w:rPr>
        <w:t>XX</w:t>
      </w:r>
      <w:r>
        <w:rPr>
          <w:spacing w:val="-51"/>
        </w:rPr>
        <w:t xml:space="preserve"> </w:t>
      </w:r>
      <w:r>
        <w:rPr>
          <w:spacing w:val="-7"/>
        </w:rPr>
        <w:t>年</w:t>
      </w:r>
      <w:r>
        <w:rPr>
          <w:spacing w:val="-61"/>
        </w:rPr>
        <w:t xml:space="preserve"> </w:t>
      </w:r>
      <w:r>
        <w:rPr>
          <w:spacing w:val="-7"/>
        </w:rPr>
        <w:t>X</w:t>
      </w:r>
      <w:r>
        <w:rPr>
          <w:spacing w:val="-45"/>
        </w:rPr>
        <w:t xml:space="preserve"> </w:t>
      </w:r>
      <w:r>
        <w:rPr>
          <w:spacing w:val="-7"/>
        </w:rPr>
        <w:t>月</w:t>
      </w:r>
      <w:r>
        <w:rPr>
          <w:spacing w:val="-64"/>
        </w:rPr>
        <w:t xml:space="preserve"> </w:t>
      </w:r>
      <w:r>
        <w:rPr>
          <w:spacing w:val="-7"/>
        </w:rPr>
        <w:t>X 日</w:t>
      </w:r>
    </w:p>
    <w:p>
      <w:pPr>
        <w:spacing w:line="222" w:lineRule="auto"/>
        <w:sectPr>
          <w:footerReference r:id="rId18" w:type="default"/>
          <w:pgSz w:w="11906" w:h="16838"/>
          <w:pgMar w:top="400" w:right="1650" w:bottom="1122" w:left="1785" w:header="0" w:footer="846" w:gutter="0"/>
          <w:cols w:space="720" w:num="1"/>
        </w:sectPr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8202" w:type="dxa"/>
        <w:tblInd w:w="6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6"/>
        <w:gridCol w:w="4296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576" w:hRule="atLeast"/>
        </w:trPr>
        <w:tc>
          <w:tcPr>
            <w:tcW w:w="39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1" w:line="218" w:lineRule="auto"/>
              <w:ind w:left="4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邵阳市财政局办公室</w:t>
            </w:r>
          </w:p>
        </w:tc>
        <w:tc>
          <w:tcPr>
            <w:tcW w:w="42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2" w:line="217" w:lineRule="auto"/>
              <w:ind w:left="11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8"/>
                <w:szCs w:val="28"/>
              </w:rPr>
              <w:t xml:space="preserve">2023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-3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  <w:sz w:val="28"/>
                <w:szCs w:val="28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2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-6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  <w:sz w:val="28"/>
                <w:szCs w:val="28"/>
              </w:rPr>
              <w:t xml:space="preserve">29 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日印发</w:t>
            </w:r>
          </w:p>
        </w:tc>
      </w:tr>
    </w:tbl>
    <w:p>
      <w:pPr>
        <w:spacing w:line="296" w:lineRule="auto"/>
        <w:rPr>
          <w:rFonts w:ascii="Arial"/>
          <w:sz w:val="21"/>
        </w:rPr>
      </w:pPr>
    </w:p>
    <w:p>
      <w:pPr>
        <w:pStyle w:val="2"/>
        <w:spacing w:before="91" w:line="180" w:lineRule="auto"/>
        <w:ind w:left="22"/>
        <w:rPr>
          <w:sz w:val="28"/>
          <w:szCs w:val="28"/>
        </w:rPr>
      </w:pPr>
      <w:r>
        <w:rPr>
          <w:spacing w:val="-10"/>
          <w:sz w:val="28"/>
          <w:szCs w:val="28"/>
        </w:rPr>
        <w:t>-</w:t>
      </w:r>
      <w:r>
        <w:rPr>
          <w:spacing w:val="3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14</w:t>
      </w:r>
      <w:r>
        <w:rPr>
          <w:spacing w:val="9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-</w:t>
      </w:r>
    </w:p>
    <w:sectPr>
      <w:footerReference r:id="rId19" w:type="default"/>
      <w:pgSz w:w="11906" w:h="16838"/>
      <w:pgMar w:top="400" w:right="1785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3" w:lineRule="auto"/>
      <w:rPr>
        <w:sz w:val="28"/>
        <w:szCs w:val="28"/>
      </w:rPr>
    </w:pPr>
    <w:r>
      <w:rPr>
        <w:spacing w:val="-10"/>
        <w:sz w:val="28"/>
        <w:szCs w:val="28"/>
      </w:rPr>
      <w:t>-</w:t>
    </w:r>
    <w:r>
      <w:rPr>
        <w:spacing w:val="22"/>
        <w:sz w:val="28"/>
        <w:szCs w:val="28"/>
      </w:rPr>
      <w:t xml:space="preserve"> </w:t>
    </w:r>
    <w:r>
      <w:rPr>
        <w:spacing w:val="-10"/>
        <w:sz w:val="28"/>
        <w:szCs w:val="28"/>
      </w:rPr>
      <w:t>2</w:t>
    </w:r>
    <w:r>
      <w:rPr>
        <w:spacing w:val="9"/>
        <w:sz w:val="28"/>
        <w:szCs w:val="28"/>
      </w:rPr>
      <w:t xml:space="preserve"> </w:t>
    </w:r>
    <w:r>
      <w:rPr>
        <w:spacing w:val="-10"/>
        <w:sz w:val="28"/>
        <w:szCs w:val="28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3" w:lineRule="auto"/>
      <w:ind w:left="13239"/>
      <w:rPr>
        <w:sz w:val="28"/>
        <w:szCs w:val="28"/>
      </w:rPr>
    </w:pPr>
    <w:r>
      <w:rPr>
        <w:spacing w:val="-10"/>
        <w:sz w:val="28"/>
        <w:szCs w:val="28"/>
      </w:rPr>
      <w:t>-</w:t>
    </w:r>
    <w:r>
      <w:rPr>
        <w:spacing w:val="28"/>
        <w:sz w:val="28"/>
        <w:szCs w:val="28"/>
      </w:rPr>
      <w:t xml:space="preserve"> </w:t>
    </w:r>
    <w:r>
      <w:rPr>
        <w:spacing w:val="-10"/>
        <w:sz w:val="28"/>
        <w:szCs w:val="28"/>
      </w:rPr>
      <w:t>11</w:t>
    </w:r>
    <w:r>
      <w:rPr>
        <w:spacing w:val="9"/>
        <w:sz w:val="28"/>
        <w:szCs w:val="28"/>
      </w:rPr>
      <w:t xml:space="preserve"> </w:t>
    </w:r>
    <w:r>
      <w:rPr>
        <w:spacing w:val="-10"/>
        <w:sz w:val="28"/>
        <w:szCs w:val="28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3" w:lineRule="auto"/>
      <w:ind w:left="22"/>
      <w:rPr>
        <w:sz w:val="28"/>
        <w:szCs w:val="28"/>
      </w:rPr>
    </w:pPr>
    <w:r>
      <w:rPr>
        <w:spacing w:val="-10"/>
        <w:sz w:val="28"/>
        <w:szCs w:val="28"/>
      </w:rPr>
      <w:t>-</w:t>
    </w:r>
    <w:r>
      <w:rPr>
        <w:spacing w:val="30"/>
        <w:sz w:val="28"/>
        <w:szCs w:val="28"/>
      </w:rPr>
      <w:t xml:space="preserve"> </w:t>
    </w:r>
    <w:r>
      <w:rPr>
        <w:spacing w:val="-10"/>
        <w:sz w:val="28"/>
        <w:szCs w:val="28"/>
      </w:rPr>
      <w:t>12</w:t>
    </w:r>
    <w:r>
      <w:rPr>
        <w:spacing w:val="9"/>
        <w:sz w:val="28"/>
        <w:szCs w:val="28"/>
      </w:rPr>
      <w:t xml:space="preserve"> </w:t>
    </w:r>
    <w:r>
      <w:rPr>
        <w:spacing w:val="-10"/>
        <w:sz w:val="28"/>
        <w:szCs w:val="28"/>
      </w:rPr>
      <w:t>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5" w:lineRule="auto"/>
      <w:ind w:left="7489"/>
      <w:rPr>
        <w:sz w:val="28"/>
        <w:szCs w:val="28"/>
      </w:rPr>
    </w:pPr>
    <w:r>
      <w:rPr>
        <w:spacing w:val="-10"/>
        <w:sz w:val="28"/>
        <w:szCs w:val="28"/>
      </w:rPr>
      <w:t>-</w:t>
    </w:r>
    <w:r>
      <w:rPr>
        <w:spacing w:val="28"/>
        <w:sz w:val="28"/>
        <w:szCs w:val="28"/>
      </w:rPr>
      <w:t xml:space="preserve"> </w:t>
    </w:r>
    <w:r>
      <w:rPr>
        <w:spacing w:val="-10"/>
        <w:sz w:val="28"/>
        <w:szCs w:val="28"/>
      </w:rPr>
      <w:t>13</w:t>
    </w:r>
    <w:r>
      <w:rPr>
        <w:spacing w:val="9"/>
        <w:sz w:val="28"/>
        <w:szCs w:val="28"/>
      </w:rPr>
      <w:t xml:space="preserve"> </w:t>
    </w:r>
    <w:r>
      <w:rPr>
        <w:spacing w:val="-10"/>
        <w:sz w:val="28"/>
        <w:szCs w:val="28"/>
      </w:rPr>
      <w:t>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5" w:lineRule="auto"/>
      <w:ind w:left="8146"/>
      <w:rPr>
        <w:sz w:val="28"/>
        <w:szCs w:val="28"/>
      </w:rPr>
    </w:pPr>
    <w:r>
      <w:rPr>
        <w:spacing w:val="-14"/>
        <w:sz w:val="28"/>
        <w:szCs w:val="28"/>
      </w:rPr>
      <w:t>-</w:t>
    </w:r>
    <w:r>
      <w:rPr>
        <w:spacing w:val="33"/>
        <w:sz w:val="28"/>
        <w:szCs w:val="28"/>
      </w:rPr>
      <w:t xml:space="preserve"> </w:t>
    </w:r>
    <w:r>
      <w:rPr>
        <w:spacing w:val="-14"/>
        <w:sz w:val="28"/>
        <w:szCs w:val="28"/>
      </w:rPr>
      <w:t>3</w:t>
    </w:r>
    <w:r>
      <w:rPr>
        <w:spacing w:val="7"/>
        <w:sz w:val="28"/>
        <w:szCs w:val="28"/>
      </w:rPr>
      <w:t xml:space="preserve"> </w:t>
    </w:r>
    <w:r>
      <w:rPr>
        <w:spacing w:val="-14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3" w:lineRule="auto"/>
      <w:rPr>
        <w:sz w:val="28"/>
        <w:szCs w:val="28"/>
      </w:rPr>
    </w:pPr>
    <w:r>
      <w:rPr>
        <w:spacing w:val="-10"/>
        <w:sz w:val="28"/>
        <w:szCs w:val="28"/>
      </w:rPr>
      <w:t>-</w:t>
    </w:r>
    <w:r>
      <w:rPr>
        <w:spacing w:val="21"/>
        <w:sz w:val="28"/>
        <w:szCs w:val="28"/>
      </w:rPr>
      <w:t xml:space="preserve"> </w:t>
    </w:r>
    <w:r>
      <w:rPr>
        <w:spacing w:val="-10"/>
        <w:sz w:val="28"/>
        <w:szCs w:val="28"/>
      </w:rPr>
      <w:t>4</w:t>
    </w:r>
    <w:r>
      <w:rPr>
        <w:spacing w:val="9"/>
        <w:sz w:val="28"/>
        <w:szCs w:val="28"/>
      </w:rPr>
      <w:t xml:space="preserve"> </w:t>
    </w:r>
    <w:r>
      <w:rPr>
        <w:spacing w:val="-10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1" w:lineRule="auto"/>
      <w:ind w:left="8147"/>
      <w:rPr>
        <w:sz w:val="28"/>
        <w:szCs w:val="28"/>
      </w:rPr>
    </w:pPr>
    <w:r>
      <w:rPr>
        <w:spacing w:val="-12"/>
        <w:sz w:val="28"/>
        <w:szCs w:val="28"/>
      </w:rPr>
      <w:t>-</w:t>
    </w:r>
    <w:r>
      <w:rPr>
        <w:spacing w:val="27"/>
        <w:sz w:val="28"/>
        <w:szCs w:val="28"/>
      </w:rPr>
      <w:t xml:space="preserve"> </w:t>
    </w:r>
    <w:r>
      <w:rPr>
        <w:spacing w:val="-12"/>
        <w:sz w:val="28"/>
        <w:szCs w:val="28"/>
      </w:rPr>
      <w:t>5</w:t>
    </w:r>
    <w:r>
      <w:rPr>
        <w:spacing w:val="7"/>
        <w:sz w:val="28"/>
        <w:szCs w:val="28"/>
      </w:rPr>
      <w:t xml:space="preserve"> </w:t>
    </w:r>
    <w:r>
      <w:rPr>
        <w:spacing w:val="-12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5" w:lineRule="auto"/>
      <w:rPr>
        <w:sz w:val="28"/>
        <w:szCs w:val="28"/>
      </w:rPr>
    </w:pPr>
    <w:r>
      <w:rPr>
        <w:spacing w:val="-11"/>
        <w:sz w:val="28"/>
        <w:szCs w:val="28"/>
      </w:rPr>
      <w:t>-</w:t>
    </w:r>
    <w:r>
      <w:rPr>
        <w:spacing w:val="24"/>
        <w:sz w:val="28"/>
        <w:szCs w:val="28"/>
      </w:rPr>
      <w:t xml:space="preserve"> </w:t>
    </w:r>
    <w:r>
      <w:rPr>
        <w:spacing w:val="-11"/>
        <w:sz w:val="28"/>
        <w:szCs w:val="28"/>
      </w:rPr>
      <w:t>6</w:t>
    </w:r>
    <w:r>
      <w:rPr>
        <w:spacing w:val="9"/>
        <w:sz w:val="28"/>
        <w:szCs w:val="28"/>
      </w:rPr>
      <w:t xml:space="preserve"> </w:t>
    </w:r>
    <w:r>
      <w:rPr>
        <w:spacing w:val="-11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1" w:lineRule="auto"/>
      <w:jc w:val="right"/>
      <w:rPr>
        <w:sz w:val="28"/>
        <w:szCs w:val="28"/>
      </w:rPr>
    </w:pPr>
    <w:r>
      <w:rPr>
        <w:spacing w:val="-16"/>
        <w:sz w:val="28"/>
        <w:szCs w:val="28"/>
      </w:rPr>
      <w:t>-</w:t>
    </w:r>
    <w:r>
      <w:rPr>
        <w:spacing w:val="25"/>
        <w:sz w:val="28"/>
        <w:szCs w:val="28"/>
      </w:rPr>
      <w:t xml:space="preserve"> </w:t>
    </w:r>
    <w:r>
      <w:rPr>
        <w:spacing w:val="-15"/>
        <w:sz w:val="28"/>
        <w:szCs w:val="28"/>
      </w:rPr>
      <w:t>7</w:t>
    </w:r>
    <w:r>
      <w:rPr>
        <w:spacing w:val="6"/>
        <w:sz w:val="28"/>
        <w:szCs w:val="28"/>
      </w:rPr>
      <w:t xml:space="preserve"> </w:t>
    </w:r>
    <w:r>
      <w:rPr>
        <w:spacing w:val="-11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5" w:lineRule="auto"/>
      <w:rPr>
        <w:sz w:val="28"/>
        <w:szCs w:val="28"/>
      </w:rPr>
    </w:pPr>
    <w:r>
      <w:rPr>
        <w:spacing w:val="-11"/>
        <w:sz w:val="28"/>
        <w:szCs w:val="28"/>
      </w:rPr>
      <w:t>-</w:t>
    </w:r>
    <w:r>
      <w:rPr>
        <w:spacing w:val="24"/>
        <w:sz w:val="28"/>
        <w:szCs w:val="28"/>
      </w:rPr>
      <w:t xml:space="preserve"> </w:t>
    </w:r>
    <w:r>
      <w:rPr>
        <w:spacing w:val="-11"/>
        <w:sz w:val="28"/>
        <w:szCs w:val="28"/>
      </w:rPr>
      <w:t>8</w:t>
    </w:r>
    <w:r>
      <w:rPr>
        <w:spacing w:val="9"/>
        <w:sz w:val="28"/>
        <w:szCs w:val="28"/>
      </w:rPr>
      <w:t xml:space="preserve"> </w:t>
    </w:r>
    <w:r>
      <w:rPr>
        <w:spacing w:val="-11"/>
        <w:sz w:val="28"/>
        <w:szCs w:val="2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5" w:lineRule="auto"/>
      <w:rPr>
        <w:sz w:val="28"/>
        <w:szCs w:val="28"/>
      </w:rPr>
    </w:pPr>
    <w:r>
      <w:rPr>
        <w:spacing w:val="-10"/>
        <w:sz w:val="28"/>
        <w:szCs w:val="28"/>
      </w:rPr>
      <w:t>-</w:t>
    </w:r>
    <w:r>
      <w:rPr>
        <w:spacing w:val="30"/>
        <w:sz w:val="28"/>
        <w:szCs w:val="28"/>
      </w:rPr>
      <w:t xml:space="preserve"> </w:t>
    </w:r>
    <w:r>
      <w:rPr>
        <w:spacing w:val="-10"/>
        <w:sz w:val="28"/>
        <w:szCs w:val="28"/>
      </w:rPr>
      <w:t>10</w:t>
    </w:r>
    <w:r>
      <w:rPr>
        <w:spacing w:val="9"/>
        <w:sz w:val="28"/>
        <w:szCs w:val="28"/>
      </w:rPr>
      <w:t xml:space="preserve"> </w:t>
    </w:r>
    <w:r>
      <w:rPr>
        <w:spacing w:val="-10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FE00A05"/>
    <w:rsid w:val="67D03A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image" Target="media/image2.png"/><Relationship Id="rId21" Type="http://schemas.openxmlformats.org/officeDocument/2006/relationships/image" Target="media/image1.png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13.xml"/><Relationship Id="rId18" Type="http://schemas.openxmlformats.org/officeDocument/2006/relationships/footer" Target="footer12.xml"/><Relationship Id="rId17" Type="http://schemas.openxmlformats.org/officeDocument/2006/relationships/footer" Target="footer11.xml"/><Relationship Id="rId16" Type="http://schemas.openxmlformats.org/officeDocument/2006/relationships/footer" Target="footer10.xml"/><Relationship Id="rId15" Type="http://schemas.openxmlformats.org/officeDocument/2006/relationships/footer" Target="footer9.xml"/><Relationship Id="rId14" Type="http://schemas.openxmlformats.org/officeDocument/2006/relationships/footer" Target="footer8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2024-01-23T09:09:00Z</dcterms:created>
  <dc:creator>user</dc:creator>
  <cp:lastModifiedBy>福星高赵</cp:lastModifiedBy>
  <dcterms:modified xsi:type="dcterms:W3CDTF">2024-01-23T01:11:55Z</dcterms:modified>
  <dc:title>邵阳市财政局发文审批单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2024-01-23T09:11:18Z</vt:filetime>
  </property>
  <property fmtid="{D5CDD505-2E9C-101B-9397-08002B2CF9AE}" pid="4" name="KSOProductBuildVer">
    <vt:lpwstr>2052-12.1.0.15358</vt:lpwstr>
  </property>
  <property fmtid="{D5CDD505-2E9C-101B-9397-08002B2CF9AE}" pid="5" name="ICV">
    <vt:lpwstr>80F8938B081344FAA2EC29C040F87F09_13</vt:lpwstr>
  </property>
</Properties>
</file>