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1644" w:lineRule="exact"/>
        <w:ind w:left="264" w:right="0" w:firstLine="0"/>
        <w:jc w:val="center"/>
        <w:rPr>
          <w:rFonts w:hint="eastAsia" w:ascii="华文中宋" w:eastAsia="华文中宋"/>
          <w:sz w:val="104"/>
        </w:rPr>
      </w:pPr>
      <w:r>
        <w:rPr>
          <w:rFonts w:hint="eastAsia" w:ascii="华文中宋" w:eastAsia="华文中宋"/>
          <w:color w:val="FF0000"/>
          <w:spacing w:val="56"/>
          <w:w w:val="30"/>
          <w:sz w:val="104"/>
        </w:rPr>
        <w:t>全国职业院校教学工作诊断与改进专家委员会</w:t>
      </w:r>
    </w:p>
    <w:p>
      <w:pPr>
        <w:pStyle w:val="4"/>
        <w:rPr>
          <w:rFonts w:ascii="华文中宋"/>
          <w:sz w:val="20"/>
        </w:rPr>
      </w:pPr>
    </w:p>
    <w:p>
      <w:pPr>
        <w:pStyle w:val="4"/>
        <w:rPr>
          <w:rFonts w:ascii="华文中宋"/>
          <w:sz w:val="29"/>
        </w:rPr>
      </w:pPr>
    </w:p>
    <w:p>
      <w:pPr>
        <w:pStyle w:val="4"/>
        <w:spacing w:before="54"/>
        <w:ind w:left="85" w:right="245"/>
        <w:jc w:val="center"/>
      </w:pPr>
      <w:r>
        <w:pict>
          <v:line id="_x0000_s1026" o:spid="_x0000_s1026" o:spt="20" style="position:absolute;left:0pt;margin-left:89.15pt;margin-top:28.65pt;height:0pt;width:414.4pt;mso-position-horizontal-relative:page;mso-wrap-distance-bottom:0pt;mso-wrap-distance-top:0pt;z-index:-251658240;mso-width-relative:page;mso-height-relative:page;" stroked="t" coordsize="21600,21600">
            <v:path arrowok="t"/>
            <v:fill focussize="0,0"/>
            <v:stroke weight="2.25pt" color="#FF0000"/>
            <v:imagedata o:title=""/>
            <o:lock v:ext="edit"/>
            <w10:wrap type="topAndBottom"/>
          </v:line>
        </w:pict>
      </w:r>
      <w:r>
        <w:t>职教诊改〔2018〕25 号</w:t>
      </w:r>
    </w:p>
    <w:p>
      <w:pPr>
        <w:pStyle w:val="4"/>
        <w:spacing w:before="6"/>
        <w:rPr>
          <w:sz w:val="23"/>
        </w:rPr>
      </w:pPr>
    </w:p>
    <w:p>
      <w:pPr>
        <w:pStyle w:val="2"/>
        <w:spacing w:before="1" w:line="237" w:lineRule="auto"/>
        <w:ind w:left="88"/>
      </w:pPr>
      <w:r>
        <w:t>关于印发《高等职业院校内部质量保证体系诊断与改进复核工作指引（试行）》</w:t>
      </w:r>
    </w:p>
    <w:p>
      <w:pPr>
        <w:spacing w:before="0" w:line="561" w:lineRule="exact"/>
        <w:ind w:left="84" w:right="245" w:firstLine="0"/>
        <w:jc w:val="center"/>
        <w:rPr>
          <w:rFonts w:hint="eastAsia" w:ascii="黑体" w:eastAsia="黑体"/>
          <w:sz w:val="44"/>
        </w:rPr>
      </w:pPr>
      <w:r>
        <w:rPr>
          <w:rFonts w:hint="eastAsia" w:ascii="黑体" w:eastAsia="黑体"/>
          <w:sz w:val="44"/>
        </w:rPr>
        <w:t>的通知</w:t>
      </w:r>
    </w:p>
    <w:p>
      <w:pPr>
        <w:pStyle w:val="4"/>
        <w:spacing w:before="8"/>
        <w:rPr>
          <w:rFonts w:ascii="黑体"/>
          <w:sz w:val="34"/>
        </w:rPr>
      </w:pPr>
    </w:p>
    <w:p>
      <w:pPr>
        <w:pStyle w:val="4"/>
        <w:ind w:left="120"/>
      </w:pPr>
      <w:bookmarkStart w:id="0" w:name="_GoBack"/>
      <w:bookmarkEnd w:id="0"/>
      <w:r>
        <w:t>各省级诊改专委会、有关试点院校：</w:t>
      </w:r>
    </w:p>
    <w:p>
      <w:pPr>
        <w:pStyle w:val="4"/>
        <w:spacing w:before="150" w:line="328" w:lineRule="auto"/>
        <w:ind w:left="120" w:right="265" w:firstLine="640"/>
        <w:jc w:val="both"/>
      </w:pPr>
      <w:r>
        <w:t>为全面推进职业院校教学工作诊断与改进（简称诊改</w:t>
      </w:r>
      <w:r>
        <w:rPr>
          <w:spacing w:val="-14"/>
        </w:rPr>
        <w:t xml:space="preserve">） </w:t>
      </w:r>
      <w:r>
        <w:rPr>
          <w:spacing w:val="-4"/>
        </w:rPr>
        <w:t>工作，完成诊改试点任务，指导各地在学校自主完成诊断和</w:t>
      </w:r>
      <w:r>
        <w:rPr>
          <w:spacing w:val="-5"/>
        </w:rPr>
        <w:t>改进阶段工作的基础上把握工作方向，进一步做好诊改复核</w:t>
      </w:r>
      <w:r>
        <w:rPr>
          <w:spacing w:val="-6"/>
        </w:rPr>
        <w:t>工作，根据《教育部办公厅关于建立职业院校教学工作诊断与改进制度的通知》（教职成厅〔2015〕2</w:t>
      </w:r>
      <w:r>
        <w:rPr>
          <w:spacing w:val="-10"/>
        </w:rPr>
        <w:t xml:space="preserve"> 号</w:t>
      </w:r>
      <w:r>
        <w:t>）、《关于印</w:t>
      </w:r>
      <w:r>
        <w:rPr>
          <w:spacing w:val="11"/>
          <w:w w:val="95"/>
        </w:rPr>
        <w:t>发〈高等职业院校内部质量保证体系诊断与改进指导方案</w:t>
      </w:r>
    </w:p>
    <w:p>
      <w:pPr>
        <w:pStyle w:val="4"/>
        <w:spacing w:line="328" w:lineRule="auto"/>
        <w:ind w:left="120" w:right="116"/>
      </w:pPr>
      <w:r>
        <w:t>（试行</w:t>
      </w:r>
      <w:r>
        <w:rPr>
          <w:spacing w:val="-27"/>
        </w:rPr>
        <w:t>）</w:t>
      </w:r>
      <w:r>
        <w:rPr>
          <w:spacing w:val="-11"/>
        </w:rPr>
        <w:t>〉启动相关工作的通知》</w:t>
      </w:r>
      <w:r>
        <w:t>（</w:t>
      </w:r>
      <w:r>
        <w:rPr>
          <w:spacing w:val="-5"/>
        </w:rPr>
        <w:t>教职成司函〔</w:t>
      </w:r>
      <w:r>
        <w:t>2015</w:t>
      </w:r>
      <w:r>
        <w:rPr>
          <w:spacing w:val="-27"/>
        </w:rPr>
        <w:t>〕</w:t>
      </w:r>
      <w:r>
        <w:t>168 号</w:t>
      </w:r>
      <w:r>
        <w:rPr>
          <w:spacing w:val="-5"/>
        </w:rPr>
        <w:t>）</w:t>
      </w:r>
      <w:r>
        <w:rPr>
          <w:spacing w:val="-3"/>
        </w:rPr>
        <w:t>、《关于确定职业院校教学诊断与改进工作试点省份及</w:t>
      </w:r>
      <w:r>
        <w:rPr>
          <w:spacing w:val="-7"/>
        </w:rPr>
        <w:t>试点院校的通知》</w:t>
      </w:r>
      <w:r>
        <w:t>（</w:t>
      </w:r>
      <w:r>
        <w:rPr>
          <w:spacing w:val="-3"/>
        </w:rPr>
        <w:t>教职成司函〔</w:t>
      </w:r>
      <w:r>
        <w:t>2016</w:t>
      </w:r>
      <w:r>
        <w:rPr>
          <w:spacing w:val="-13"/>
        </w:rPr>
        <w:t>〕</w:t>
      </w:r>
      <w:r>
        <w:t>72</w:t>
      </w:r>
      <w:r>
        <w:rPr>
          <w:spacing w:val="-42"/>
        </w:rPr>
        <w:t xml:space="preserve"> 号</w:t>
      </w:r>
      <w:r>
        <w:rPr>
          <w:spacing w:val="-15"/>
        </w:rPr>
        <w:t>）</w:t>
      </w:r>
      <w:r>
        <w:rPr>
          <w:spacing w:val="-7"/>
        </w:rPr>
        <w:t>、《关于全</w:t>
      </w:r>
      <w:r>
        <w:rPr>
          <w:spacing w:val="-8"/>
        </w:rPr>
        <w:t>面推进职业院校教学工作诊断与改进制度建设的通知》</w:t>
      </w:r>
      <w:r>
        <w:t>（教</w:t>
      </w:r>
      <w:r>
        <w:rPr>
          <w:spacing w:val="-13"/>
        </w:rPr>
        <w:t>职成司函〔</w:t>
      </w:r>
      <w:r>
        <w:t>2017</w:t>
      </w:r>
      <w:r>
        <w:rPr>
          <w:spacing w:val="-63"/>
        </w:rPr>
        <w:t>〕</w:t>
      </w:r>
      <w:r>
        <w:t>56</w:t>
      </w:r>
      <w:r>
        <w:rPr>
          <w:spacing w:val="-44"/>
        </w:rPr>
        <w:t xml:space="preserve"> 号</w:t>
      </w:r>
      <w:r>
        <w:rPr>
          <w:spacing w:val="-63"/>
        </w:rPr>
        <w:t>）</w:t>
      </w:r>
      <w:r>
        <w:rPr>
          <w:spacing w:val="-21"/>
        </w:rPr>
        <w:t>等文件</w:t>
      </w:r>
      <w:r>
        <w:t xml:space="preserve">（简称教育部诊改工作通知） </w:t>
      </w:r>
      <w:r>
        <w:rPr>
          <w:spacing w:val="-4"/>
        </w:rPr>
        <w:t>要求，结合试点院校实践探索经验，全国职业院校教学工作</w:t>
      </w:r>
      <w:r>
        <w:rPr>
          <w:spacing w:val="-5"/>
        </w:rPr>
        <w:t>诊断与改进专家委员会</w:t>
      </w:r>
      <w:r>
        <w:t>（简称全国诊改专委会</w:t>
      </w:r>
      <w:r>
        <w:rPr>
          <w:spacing w:val="-8"/>
        </w:rPr>
        <w:t>）</w:t>
      </w:r>
      <w:r>
        <w:t>研究制定了</w:t>
      </w:r>
    </w:p>
    <w:p>
      <w:pPr>
        <w:spacing w:after="0" w:line="328" w:lineRule="auto"/>
        <w:sectPr>
          <w:type w:val="continuous"/>
          <w:pgSz w:w="11910" w:h="16840"/>
          <w:pgMar w:top="1580" w:right="1520" w:bottom="280" w:left="1680" w:header="720" w:footer="720" w:gutter="0"/>
        </w:sectPr>
      </w:pPr>
    </w:p>
    <w:p>
      <w:pPr>
        <w:pStyle w:val="4"/>
        <w:spacing w:before="30" w:line="326" w:lineRule="auto"/>
        <w:ind w:left="120" w:right="276"/>
      </w:pPr>
      <w:r>
        <w:rPr>
          <w:spacing w:val="11"/>
          <w:w w:val="95"/>
        </w:rPr>
        <w:t xml:space="preserve">《高等职业院校内部质量保证体系诊断与改进复核工作指 </w:t>
      </w:r>
      <w:r>
        <w:t>引（试行）》（简称《复核工作指引》）。</w:t>
      </w:r>
    </w:p>
    <w:p>
      <w:pPr>
        <w:pStyle w:val="4"/>
        <w:spacing w:before="6" w:line="328" w:lineRule="auto"/>
        <w:ind w:left="120" w:right="277" w:firstLine="640"/>
        <w:jc w:val="both"/>
      </w:pPr>
      <w:r>
        <w:rPr>
          <w:spacing w:val="-3"/>
        </w:rPr>
        <w:t>《复核工作指引》对教育部诊改工作通知中复核环节相关内容作了优化调整，是全国诊改专委会面向全国诊改高职</w:t>
      </w:r>
      <w:r>
        <w:rPr>
          <w:spacing w:val="-4"/>
        </w:rPr>
        <w:t>试点院校开展复核工作的依据。现将《复核工作指引》印发</w:t>
      </w:r>
      <w:r>
        <w:t>给你们，作为制定复核工作方案和开展复核工作的参考。</w:t>
      </w:r>
    </w:p>
    <w:p>
      <w:pPr>
        <w:pStyle w:val="4"/>
        <w:rPr>
          <w:sz w:val="43"/>
        </w:rPr>
      </w:pPr>
    </w:p>
    <w:p>
      <w:pPr>
        <w:pStyle w:val="4"/>
        <w:spacing w:line="328" w:lineRule="auto"/>
        <w:ind w:left="1720" w:right="233" w:hanging="960"/>
      </w:pPr>
      <w:r>
        <w:t>附件：高等职业院校内部质量保证体系诊断与改进复核工作指引（试行）</w:t>
      </w:r>
    </w:p>
    <w:p>
      <w:pPr>
        <w:pStyle w:val="4"/>
      </w:pPr>
    </w:p>
    <w:p>
      <w:pPr>
        <w:pStyle w:val="4"/>
      </w:pPr>
    </w:p>
    <w:p>
      <w:pPr>
        <w:pStyle w:val="4"/>
        <w:spacing w:before="3"/>
        <w:rPr>
          <w:sz w:val="23"/>
        </w:rPr>
      </w:pPr>
    </w:p>
    <w:p>
      <w:pPr>
        <w:pStyle w:val="4"/>
        <w:spacing w:before="1" w:line="326" w:lineRule="auto"/>
        <w:ind w:left="4747" w:right="758"/>
        <w:jc w:val="center"/>
      </w:pPr>
      <w:r>
        <w:drawing>
          <wp:anchor distT="0" distB="0" distL="0" distR="0" simplePos="0" relativeHeight="250928128" behindDoc="1" locked="0" layoutInCell="1" allowOverlap="1">
            <wp:simplePos x="0" y="0"/>
            <wp:positionH relativeFrom="page">
              <wp:posOffset>4399915</wp:posOffset>
            </wp:positionH>
            <wp:positionV relativeFrom="paragraph">
              <wp:posOffset>-297180</wp:posOffset>
            </wp:positionV>
            <wp:extent cx="1428750" cy="142875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pic:cNvPicPr>
                  </pic:nvPicPr>
                  <pic:blipFill>
                    <a:blip r:embed="rId9" cstate="print"/>
                    <a:stretch>
                      <a:fillRect/>
                    </a:stretch>
                  </pic:blipFill>
                  <pic:spPr>
                    <a:xfrm>
                      <a:off x="0" y="0"/>
                      <a:ext cx="1428749" cy="1428749"/>
                    </a:xfrm>
                    <a:prstGeom prst="rect">
                      <a:avLst/>
                    </a:prstGeom>
                  </pic:spPr>
                </pic:pic>
              </a:graphicData>
            </a:graphic>
          </wp:anchor>
        </w:drawing>
      </w:r>
      <w:r>
        <w:rPr>
          <w:spacing w:val="-2"/>
        </w:rPr>
        <w:t>全国职业院校教学工作诊断与改进专家委员会</w:t>
      </w:r>
      <w:r>
        <w:t>2018</w:t>
      </w:r>
      <w:r>
        <w:rPr>
          <w:spacing w:val="-56"/>
        </w:rPr>
        <w:t xml:space="preserve"> 年 </w:t>
      </w:r>
      <w:r>
        <w:t>12</w:t>
      </w:r>
      <w:r>
        <w:rPr>
          <w:spacing w:val="-56"/>
        </w:rPr>
        <w:t xml:space="preserve"> 月 </w:t>
      </w:r>
      <w:r>
        <w:t>29</w:t>
      </w:r>
      <w:r>
        <w:rPr>
          <w:spacing w:val="-43"/>
        </w:rPr>
        <w:t xml:space="preserve"> 日</w:t>
      </w:r>
    </w:p>
    <w:p>
      <w:pPr>
        <w:spacing w:after="0" w:line="326" w:lineRule="auto"/>
        <w:jc w:val="center"/>
        <w:sectPr>
          <w:footerReference r:id="rId3" w:type="default"/>
          <w:footerReference r:id="rId4" w:type="even"/>
          <w:pgSz w:w="11910" w:h="16840"/>
          <w:pgMar w:top="1520" w:right="1520" w:bottom="1620" w:left="1680" w:header="0" w:footer="1426" w:gutter="0"/>
          <w:pgNumType w:start="2"/>
        </w:sectPr>
      </w:pPr>
    </w:p>
    <w:p>
      <w:pPr>
        <w:pStyle w:val="4"/>
        <w:spacing w:before="42"/>
        <w:ind w:left="120"/>
        <w:rPr>
          <w:rFonts w:hint="eastAsia" w:ascii="黑体" w:eastAsia="黑体"/>
        </w:rPr>
      </w:pPr>
      <w:r>
        <w:rPr>
          <w:rFonts w:hint="eastAsia" w:ascii="黑体" w:eastAsia="黑体"/>
        </w:rPr>
        <w:t>附件</w:t>
      </w:r>
    </w:p>
    <w:p>
      <w:pPr>
        <w:pStyle w:val="4"/>
        <w:spacing w:before="7"/>
        <w:rPr>
          <w:rFonts w:ascii="黑体"/>
          <w:sz w:val="30"/>
        </w:rPr>
      </w:pPr>
    </w:p>
    <w:p>
      <w:pPr>
        <w:pStyle w:val="2"/>
        <w:spacing w:line="264" w:lineRule="auto"/>
        <w:ind w:left="1411" w:right="911" w:hanging="661"/>
        <w:jc w:val="left"/>
      </w:pPr>
      <w:r>
        <w:t>高等职业院校内部质量保证体系诊断与改进复核工作指引（试行）</w:t>
      </w:r>
    </w:p>
    <w:p>
      <w:pPr>
        <w:pStyle w:val="4"/>
        <w:spacing w:before="4"/>
        <w:rPr>
          <w:rFonts w:ascii="黑体"/>
          <w:sz w:val="49"/>
        </w:rPr>
      </w:pPr>
    </w:p>
    <w:p>
      <w:pPr>
        <w:pStyle w:val="4"/>
        <w:spacing w:line="328" w:lineRule="auto"/>
        <w:ind w:left="119" w:right="264" w:firstLine="640"/>
        <w:jc w:val="both"/>
      </w:pPr>
      <w:r>
        <w:rPr>
          <w:spacing w:val="14"/>
          <w:w w:val="95"/>
        </w:rPr>
        <w:t xml:space="preserve">复核工作是职业院校教学工作诊断与改进制度的有机 </w:t>
      </w:r>
      <w:r>
        <w:rPr>
          <w:spacing w:val="-2"/>
        </w:rPr>
        <w:t>组成和重要保证。为整体把握复核工作方向、规范复核工作的基本内容和程序，特制定本复核工作指引。</w:t>
      </w:r>
    </w:p>
    <w:p>
      <w:pPr>
        <w:pStyle w:val="4"/>
        <w:spacing w:line="405" w:lineRule="exact"/>
        <w:ind w:left="760"/>
        <w:rPr>
          <w:rFonts w:hint="eastAsia" w:ascii="黑体" w:eastAsia="黑体"/>
        </w:rPr>
      </w:pPr>
      <w:r>
        <w:rPr>
          <w:rFonts w:hint="eastAsia" w:ascii="黑体" w:eastAsia="黑体"/>
        </w:rPr>
        <w:t>一、复核目的</w:t>
      </w:r>
    </w:p>
    <w:p>
      <w:pPr>
        <w:pStyle w:val="4"/>
        <w:spacing w:before="152" w:line="328" w:lineRule="auto"/>
        <w:ind w:left="119" w:right="120" w:firstLine="640"/>
      </w:pPr>
      <w:r>
        <w:rPr>
          <w:spacing w:val="-2"/>
        </w:rPr>
        <w:t>加强事中事后监管，把握诊改制度建设方向，突出高职</w:t>
      </w:r>
      <w:r>
        <w:rPr>
          <w:spacing w:val="-3"/>
        </w:rPr>
        <w:t>院校质量保证主体的地位和责任，督促高职院校有效落实内</w:t>
      </w:r>
      <w:r>
        <w:rPr>
          <w:spacing w:val="-9"/>
        </w:rPr>
        <w:t>部质量保证体系建设与运行实施方案</w:t>
      </w:r>
      <w:r>
        <w:t>（简称学校实施方案</w:t>
      </w:r>
      <w:r>
        <w:rPr>
          <w:spacing w:val="-50"/>
        </w:rPr>
        <w:t xml:space="preserve">）， </w:t>
      </w:r>
      <w:r>
        <w:rPr>
          <w:spacing w:val="-1"/>
        </w:rPr>
        <w:t>以教育教学管理信息化平台</w:t>
      </w:r>
      <w:r>
        <w:t>（简称平台</w:t>
      </w:r>
      <w:r>
        <w:rPr>
          <w:spacing w:val="-3"/>
        </w:rPr>
        <w:t>）</w:t>
      </w:r>
      <w:r>
        <w:rPr>
          <w:spacing w:val="-1"/>
        </w:rPr>
        <w:t>建设为支撑，以诊</w:t>
      </w:r>
      <w:r>
        <w:rPr>
          <w:spacing w:val="-4"/>
        </w:rPr>
        <w:t>改为手段，加快内部质量保证体系建设，建立常态化的自主</w:t>
      </w:r>
      <w:r>
        <w:rPr>
          <w:spacing w:val="-6"/>
        </w:rPr>
        <w:t>保证人才培养质量机制，营造现代质量文化，不断提高师生</w:t>
      </w:r>
      <w:r>
        <w:rPr>
          <w:spacing w:val="-7"/>
        </w:rPr>
        <w:t>员工的满意度和获得感，进一步提升办学水平和人才培养质量。</w:t>
      </w:r>
    </w:p>
    <w:p>
      <w:pPr>
        <w:pStyle w:val="4"/>
        <w:spacing w:line="395" w:lineRule="exact"/>
        <w:ind w:left="760"/>
        <w:rPr>
          <w:rFonts w:hint="eastAsia" w:ascii="黑体" w:eastAsia="黑体"/>
        </w:rPr>
      </w:pPr>
      <w:r>
        <w:rPr>
          <w:rFonts w:hint="eastAsia" w:ascii="黑体" w:eastAsia="黑体"/>
        </w:rPr>
        <w:t>二、基本原则</w:t>
      </w:r>
    </w:p>
    <w:p>
      <w:pPr>
        <w:pStyle w:val="4"/>
        <w:spacing w:before="151" w:line="326" w:lineRule="auto"/>
        <w:ind w:left="119" w:right="234" w:firstLine="640"/>
      </w:pPr>
      <w:r>
        <w:t>复核工作以教育部诊改工作通知为指导，以学校实施方案为依据，以内部质量保证体系建设与运行为重点。</w:t>
      </w:r>
    </w:p>
    <w:p>
      <w:pPr>
        <w:pStyle w:val="4"/>
        <w:spacing w:before="4" w:line="328" w:lineRule="auto"/>
        <w:ind w:left="119" w:right="119" w:firstLine="643"/>
      </w:pPr>
      <w:r>
        <w:rPr>
          <w:b/>
        </w:rPr>
        <w:t>（一</w:t>
      </w:r>
      <w:r>
        <w:rPr>
          <w:b/>
          <w:spacing w:val="-8"/>
        </w:rPr>
        <w:t>）</w:t>
      </w:r>
      <w:r>
        <w:rPr>
          <w:b/>
          <w:spacing w:val="-2"/>
        </w:rPr>
        <w:t>聚焦核心要素。</w:t>
      </w:r>
      <w:r>
        <w:rPr>
          <w:spacing w:val="-1"/>
        </w:rPr>
        <w:t>坚持以学校诊改工作为基础，聚</w:t>
      </w:r>
      <w:r>
        <w:rPr>
          <w:spacing w:val="-15"/>
        </w:rPr>
        <w:t>焦学校、专业、课程、教师、学生不同层面</w:t>
      </w:r>
      <w:r>
        <w:t>（简称五个层面</w:t>
      </w:r>
      <w:r>
        <w:rPr>
          <w:spacing w:val="-12"/>
        </w:rPr>
        <w:t xml:space="preserve">） </w:t>
      </w:r>
      <w:r>
        <w:rPr>
          <w:spacing w:val="-3"/>
        </w:rPr>
        <w:t>的目标与标准、监测与预警、诊断与改进的机制建设和运行情况。</w:t>
      </w:r>
    </w:p>
    <w:p>
      <w:pPr>
        <w:spacing w:after="0" w:line="328" w:lineRule="auto"/>
        <w:sectPr>
          <w:pgSz w:w="11910" w:h="16840"/>
          <w:pgMar w:top="1460" w:right="1520" w:bottom="1940" w:left="1680" w:header="0" w:footer="1741" w:gutter="0"/>
        </w:sectPr>
      </w:pPr>
    </w:p>
    <w:p>
      <w:pPr>
        <w:pStyle w:val="4"/>
        <w:spacing w:before="30" w:line="328" w:lineRule="auto"/>
        <w:ind w:left="120" w:right="117" w:firstLine="643"/>
      </w:pPr>
      <w:r>
        <w:rPr>
          <w:b/>
        </w:rPr>
        <w:t>（二</w:t>
      </w:r>
      <w:r>
        <w:rPr>
          <w:b/>
          <w:spacing w:val="-92"/>
        </w:rPr>
        <w:t>）</w:t>
      </w:r>
      <w:r>
        <w:rPr>
          <w:b/>
          <w:spacing w:val="-14"/>
        </w:rPr>
        <w:t>关注诊改轨迹。</w:t>
      </w:r>
      <w:r>
        <w:rPr>
          <w:spacing w:val="-1"/>
        </w:rPr>
        <w:t xml:space="preserve">坚持数据分析与实际调研相结合， </w:t>
      </w:r>
      <w:r>
        <w:rPr>
          <w:spacing w:val="-2"/>
        </w:rPr>
        <w:t>基于学校平台数据分析，以轨迹变化为关注点，辅以实际调查研究，做出与事实相符的判断。</w:t>
      </w:r>
    </w:p>
    <w:p>
      <w:pPr>
        <w:pStyle w:val="4"/>
        <w:spacing w:line="328" w:lineRule="auto"/>
        <w:ind w:left="119" w:right="279" w:firstLine="643"/>
        <w:jc w:val="both"/>
      </w:pPr>
      <w:r>
        <w:rPr>
          <w:b/>
        </w:rPr>
        <w:t>（三</w:t>
      </w:r>
      <w:r>
        <w:rPr>
          <w:b/>
          <w:spacing w:val="-8"/>
        </w:rPr>
        <w:t>）</w:t>
      </w:r>
      <w:r>
        <w:rPr>
          <w:b/>
          <w:spacing w:val="-2"/>
        </w:rPr>
        <w:t>尊重校本特色。</w:t>
      </w:r>
      <w:r>
        <w:rPr>
          <w:spacing w:val="-3"/>
        </w:rPr>
        <w:t>坚持一校一策，尊重学校的历史文化和办学自主权，针对学校当前发展阶段和发展目标，引</w:t>
      </w:r>
      <w:r>
        <w:rPr>
          <w:spacing w:val="-4"/>
        </w:rPr>
        <w:t>导学校科学定位、服务发展、促进就业，进一步完善有效可</w:t>
      </w:r>
      <w:r>
        <w:t>行的诊改工作实施方案。</w:t>
      </w:r>
    </w:p>
    <w:p>
      <w:pPr>
        <w:pStyle w:val="4"/>
        <w:spacing w:line="402" w:lineRule="exact"/>
        <w:ind w:left="760"/>
        <w:rPr>
          <w:rFonts w:hint="eastAsia" w:ascii="黑体" w:eastAsia="黑体"/>
        </w:rPr>
      </w:pPr>
      <w:r>
        <w:rPr>
          <w:rFonts w:hint="eastAsia" w:ascii="黑体" w:eastAsia="黑体"/>
        </w:rPr>
        <w:t>三、复核内容</w:t>
      </w:r>
    </w:p>
    <w:p>
      <w:pPr>
        <w:pStyle w:val="3"/>
        <w:spacing w:before="147"/>
      </w:pPr>
      <w:r>
        <w:t>（一）内部质量保证体系建设与运行</w:t>
      </w:r>
    </w:p>
    <w:p>
      <w:pPr>
        <w:pStyle w:val="4"/>
        <w:spacing w:before="149" w:line="328" w:lineRule="auto"/>
        <w:ind w:left="119" w:right="266" w:firstLine="640"/>
        <w:jc w:val="both"/>
      </w:pPr>
      <w:r>
        <w:t>复核目标链与标准链（简称两链）的科学性、系统性、可行性、实施情况及成效。复核五个层面“8 字形质量改进螺旋”（简称螺旋）建设的科学性、覆盖面、可行性、实施情况及成效。复核学校质量文化与机制引擎（简称引擎）驱动与运行情况及成效。</w:t>
      </w:r>
    </w:p>
    <w:p>
      <w:pPr>
        <w:pStyle w:val="8"/>
        <w:numPr>
          <w:ilvl w:val="0"/>
          <w:numId w:val="1"/>
        </w:numPr>
        <w:tabs>
          <w:tab w:val="left" w:pos="1083"/>
        </w:tabs>
        <w:spacing w:before="0" w:after="0" w:line="402" w:lineRule="exact"/>
        <w:ind w:left="1082" w:right="0" w:hanging="323"/>
        <w:jc w:val="left"/>
        <w:rPr>
          <w:sz w:val="32"/>
        </w:rPr>
      </w:pPr>
      <w:r>
        <w:rPr>
          <w:sz w:val="32"/>
        </w:rPr>
        <w:t>两链打造与实施</w:t>
      </w:r>
    </w:p>
    <w:p>
      <w:pPr>
        <w:pStyle w:val="8"/>
        <w:numPr>
          <w:ilvl w:val="0"/>
          <w:numId w:val="2"/>
        </w:numPr>
        <w:tabs>
          <w:tab w:val="left" w:pos="1580"/>
        </w:tabs>
        <w:spacing w:before="149" w:after="0" w:line="328" w:lineRule="auto"/>
        <w:ind w:left="120" w:right="268" w:firstLine="640"/>
        <w:jc w:val="both"/>
        <w:rPr>
          <w:sz w:val="32"/>
        </w:rPr>
      </w:pPr>
      <w:r>
        <w:rPr>
          <w:spacing w:val="7"/>
          <w:w w:val="95"/>
          <w:sz w:val="32"/>
        </w:rPr>
        <w:t xml:space="preserve">学校发展规划是否成体系，学校发展目标是否传 </w:t>
      </w:r>
      <w:r>
        <w:rPr>
          <w:spacing w:val="-3"/>
          <w:sz w:val="32"/>
        </w:rPr>
        <w:t>递至专业、课程、教师层面，目标是否上下衔接成链。学校</w:t>
      </w:r>
      <w:r>
        <w:rPr>
          <w:spacing w:val="-5"/>
          <w:sz w:val="32"/>
        </w:rPr>
        <w:t>机构职责是否明确，是否建立岗位工作标准，标准和制度执行是否有有效机制。</w:t>
      </w:r>
    </w:p>
    <w:p>
      <w:pPr>
        <w:pStyle w:val="8"/>
        <w:numPr>
          <w:ilvl w:val="0"/>
          <w:numId w:val="2"/>
        </w:numPr>
        <w:tabs>
          <w:tab w:val="left" w:pos="1580"/>
        </w:tabs>
        <w:spacing w:before="0" w:after="0" w:line="328" w:lineRule="auto"/>
        <w:ind w:left="120" w:right="119" w:firstLine="640"/>
        <w:jc w:val="left"/>
        <w:rPr>
          <w:sz w:val="32"/>
        </w:rPr>
      </w:pPr>
      <w:r>
        <w:rPr>
          <w:spacing w:val="7"/>
          <w:sz w:val="32"/>
        </w:rPr>
        <w:t xml:space="preserve">专业建设规划目标、标准是否与学校规划契合， </w:t>
      </w:r>
      <w:r>
        <w:rPr>
          <w:spacing w:val="-13"/>
          <w:sz w:val="32"/>
        </w:rPr>
        <w:t>是否与自身基础适切。目标与标准是否明确、具体、可检测。</w:t>
      </w:r>
    </w:p>
    <w:p>
      <w:pPr>
        <w:pStyle w:val="8"/>
        <w:numPr>
          <w:ilvl w:val="0"/>
          <w:numId w:val="2"/>
        </w:numPr>
        <w:tabs>
          <w:tab w:val="left" w:pos="1581"/>
        </w:tabs>
        <w:spacing w:before="0" w:after="0" w:line="328" w:lineRule="auto"/>
        <w:ind w:left="120" w:right="268" w:firstLine="640"/>
        <w:jc w:val="both"/>
        <w:rPr>
          <w:sz w:val="32"/>
        </w:rPr>
      </w:pPr>
      <w:r>
        <w:rPr>
          <w:spacing w:val="7"/>
          <w:w w:val="95"/>
          <w:sz w:val="32"/>
        </w:rPr>
        <w:t xml:space="preserve">课程建设规划目标、标准是否与专业建设规划契 </w:t>
      </w:r>
      <w:r>
        <w:rPr>
          <w:spacing w:val="-2"/>
          <w:sz w:val="32"/>
        </w:rPr>
        <w:t>合，是否与自身基础适切。目标与标准是否明确、具体、可检测。</w:t>
      </w:r>
    </w:p>
    <w:p>
      <w:pPr>
        <w:spacing w:after="0" w:line="328" w:lineRule="auto"/>
        <w:jc w:val="both"/>
        <w:rPr>
          <w:sz w:val="32"/>
        </w:rPr>
        <w:sectPr>
          <w:pgSz w:w="11910" w:h="16840"/>
          <w:pgMar w:top="1520" w:right="1520" w:bottom="1620" w:left="1680" w:header="0" w:footer="1426" w:gutter="0"/>
        </w:sectPr>
      </w:pPr>
    </w:p>
    <w:p>
      <w:pPr>
        <w:pStyle w:val="8"/>
        <w:numPr>
          <w:ilvl w:val="0"/>
          <w:numId w:val="2"/>
        </w:numPr>
        <w:tabs>
          <w:tab w:val="left" w:pos="1580"/>
        </w:tabs>
        <w:spacing w:before="30" w:after="0" w:line="328" w:lineRule="auto"/>
        <w:ind w:left="120" w:right="268" w:firstLine="640"/>
        <w:jc w:val="both"/>
        <w:rPr>
          <w:sz w:val="32"/>
        </w:rPr>
      </w:pPr>
      <w:r>
        <w:rPr>
          <w:spacing w:val="7"/>
          <w:w w:val="95"/>
          <w:sz w:val="32"/>
        </w:rPr>
        <w:t xml:space="preserve">教师个人发展目标确定是否与学校师资队伍建设 </w:t>
      </w:r>
      <w:r>
        <w:rPr>
          <w:spacing w:val="-1"/>
          <w:sz w:val="32"/>
        </w:rPr>
        <w:t>规划及专业建设规划等相关要求相适切，教师是否制定有个</w:t>
      </w:r>
      <w:r>
        <w:rPr>
          <w:spacing w:val="11"/>
          <w:w w:val="95"/>
          <w:sz w:val="32"/>
        </w:rPr>
        <w:t xml:space="preserve">人发展计划及与之相应的目标与标准。目标与标准是否明 </w:t>
      </w:r>
      <w:r>
        <w:rPr>
          <w:spacing w:val="11"/>
          <w:sz w:val="32"/>
        </w:rPr>
        <w:t>确、具体、可检测，与自身基础适切。</w:t>
      </w:r>
    </w:p>
    <w:p>
      <w:pPr>
        <w:pStyle w:val="8"/>
        <w:numPr>
          <w:ilvl w:val="0"/>
          <w:numId w:val="2"/>
        </w:numPr>
        <w:tabs>
          <w:tab w:val="left" w:pos="1580"/>
        </w:tabs>
        <w:spacing w:before="0" w:after="0" w:line="328" w:lineRule="auto"/>
        <w:ind w:left="120" w:right="268" w:firstLine="640"/>
        <w:jc w:val="both"/>
        <w:rPr>
          <w:sz w:val="32"/>
        </w:rPr>
      </w:pPr>
      <w:r>
        <w:rPr>
          <w:spacing w:val="7"/>
          <w:w w:val="95"/>
          <w:sz w:val="32"/>
        </w:rPr>
        <w:t xml:space="preserve">学生是否制定有个人发展计划，个人发展目标是 </w:t>
      </w:r>
      <w:r>
        <w:rPr>
          <w:spacing w:val="-1"/>
          <w:sz w:val="32"/>
        </w:rPr>
        <w:t>否与学校人才培养方案及素质教育相关要求相适切。学校是否建立指导学生制定个人发展计划的制度。</w:t>
      </w:r>
    </w:p>
    <w:p>
      <w:pPr>
        <w:pStyle w:val="8"/>
        <w:numPr>
          <w:ilvl w:val="0"/>
          <w:numId w:val="1"/>
        </w:numPr>
        <w:tabs>
          <w:tab w:val="left" w:pos="1084"/>
        </w:tabs>
        <w:spacing w:before="0" w:after="0" w:line="405" w:lineRule="exact"/>
        <w:ind w:left="1083" w:right="0" w:hanging="323"/>
        <w:jc w:val="left"/>
        <w:rPr>
          <w:sz w:val="32"/>
        </w:rPr>
      </w:pPr>
      <w:r>
        <w:rPr>
          <w:sz w:val="32"/>
        </w:rPr>
        <w:t>螺旋建立与运行</w:t>
      </w:r>
    </w:p>
    <w:p>
      <w:pPr>
        <w:pStyle w:val="8"/>
        <w:numPr>
          <w:ilvl w:val="0"/>
          <w:numId w:val="3"/>
        </w:numPr>
        <w:tabs>
          <w:tab w:val="left" w:pos="1580"/>
        </w:tabs>
        <w:spacing w:before="144" w:after="0" w:line="328" w:lineRule="auto"/>
        <w:ind w:left="120" w:right="268" w:firstLine="640"/>
        <w:jc w:val="both"/>
        <w:rPr>
          <w:sz w:val="32"/>
        </w:rPr>
      </w:pPr>
      <w:r>
        <w:rPr>
          <w:spacing w:val="7"/>
          <w:w w:val="95"/>
          <w:sz w:val="32"/>
        </w:rPr>
        <w:t xml:space="preserve">学校是否建有规划和年度目标任务分解、实施、 </w:t>
      </w:r>
      <w:r>
        <w:rPr>
          <w:spacing w:val="-4"/>
          <w:sz w:val="32"/>
        </w:rPr>
        <w:t>诊断、改进的运行机制。实施过程是否有监测预警和改进机</w:t>
      </w:r>
      <w:r>
        <w:rPr>
          <w:spacing w:val="-5"/>
          <w:sz w:val="32"/>
        </w:rPr>
        <w:t>制，方法与手段是否便捷可操作。是否建立学校各组织机构</w:t>
      </w:r>
      <w:r>
        <w:rPr>
          <w:spacing w:val="-7"/>
          <w:sz w:val="32"/>
        </w:rPr>
        <w:t>履行职责的诊改制度，方法与手段是否可操作，是否有效运行。</w:t>
      </w:r>
    </w:p>
    <w:p>
      <w:pPr>
        <w:pStyle w:val="8"/>
        <w:numPr>
          <w:ilvl w:val="0"/>
          <w:numId w:val="3"/>
        </w:numPr>
        <w:tabs>
          <w:tab w:val="left" w:pos="1580"/>
        </w:tabs>
        <w:spacing w:before="0" w:after="0" w:line="328" w:lineRule="auto"/>
        <w:ind w:left="120" w:right="268" w:firstLine="640"/>
        <w:jc w:val="both"/>
        <w:rPr>
          <w:sz w:val="32"/>
        </w:rPr>
      </w:pPr>
      <w:r>
        <w:rPr>
          <w:spacing w:val="7"/>
          <w:w w:val="95"/>
          <w:sz w:val="32"/>
        </w:rPr>
        <w:t xml:space="preserve">是否建立专业、课程建设与课程教学质量的诊改 </w:t>
      </w:r>
      <w:r>
        <w:rPr>
          <w:spacing w:val="-3"/>
          <w:sz w:val="32"/>
        </w:rPr>
        <w:t>运行制度，诊改内容是否有助于目标达成，诊改周期是否合理，诊改方法与手段是否便捷可操作。</w:t>
      </w:r>
    </w:p>
    <w:p>
      <w:pPr>
        <w:pStyle w:val="8"/>
        <w:numPr>
          <w:ilvl w:val="0"/>
          <w:numId w:val="3"/>
        </w:numPr>
        <w:tabs>
          <w:tab w:val="left" w:pos="1581"/>
        </w:tabs>
        <w:spacing w:before="0" w:after="0" w:line="328" w:lineRule="auto"/>
        <w:ind w:left="120" w:right="268" w:firstLine="640"/>
        <w:jc w:val="left"/>
        <w:rPr>
          <w:sz w:val="32"/>
        </w:rPr>
      </w:pPr>
      <w:r>
        <w:rPr>
          <w:spacing w:val="7"/>
          <w:w w:val="95"/>
          <w:sz w:val="32"/>
        </w:rPr>
        <w:t xml:space="preserve">是否建立教师个人发展自我诊改制度，周期是否 </w:t>
      </w:r>
      <w:r>
        <w:rPr>
          <w:sz w:val="32"/>
        </w:rPr>
        <w:t>合理，方法是否便捷可操作。</w:t>
      </w:r>
    </w:p>
    <w:p>
      <w:pPr>
        <w:pStyle w:val="8"/>
        <w:numPr>
          <w:ilvl w:val="0"/>
          <w:numId w:val="3"/>
        </w:numPr>
        <w:tabs>
          <w:tab w:val="left" w:pos="1563"/>
        </w:tabs>
        <w:spacing w:before="0" w:after="0" w:line="326" w:lineRule="auto"/>
        <w:ind w:left="121" w:right="118" w:firstLine="640"/>
        <w:jc w:val="left"/>
        <w:rPr>
          <w:sz w:val="32"/>
        </w:rPr>
      </w:pPr>
      <w:r>
        <w:rPr>
          <w:spacing w:val="-2"/>
          <w:sz w:val="32"/>
        </w:rPr>
        <w:t xml:space="preserve">学校是否引导学生进行自我诊改，周期是否合理， </w:t>
      </w:r>
      <w:r>
        <w:rPr>
          <w:sz w:val="32"/>
        </w:rPr>
        <w:t>方法是否便捷可操作。</w:t>
      </w:r>
    </w:p>
    <w:p>
      <w:pPr>
        <w:pStyle w:val="8"/>
        <w:numPr>
          <w:ilvl w:val="0"/>
          <w:numId w:val="3"/>
        </w:numPr>
        <w:tabs>
          <w:tab w:val="left" w:pos="1581"/>
        </w:tabs>
        <w:spacing w:before="0" w:after="0" w:line="326" w:lineRule="auto"/>
        <w:ind w:left="121" w:right="269" w:firstLine="640"/>
        <w:jc w:val="left"/>
        <w:rPr>
          <w:sz w:val="32"/>
        </w:rPr>
      </w:pPr>
      <w:r>
        <w:rPr>
          <w:spacing w:val="6"/>
          <w:w w:val="95"/>
          <w:sz w:val="32"/>
        </w:rPr>
        <w:t xml:space="preserve">五个层面的诊断结论是否依据数据和事实获得， </w:t>
      </w:r>
      <w:r>
        <w:rPr>
          <w:sz w:val="32"/>
        </w:rPr>
        <w:t>自我诊断报告的陈述是否明确具体，改进措施是否有效。</w:t>
      </w:r>
    </w:p>
    <w:p>
      <w:pPr>
        <w:pStyle w:val="8"/>
        <w:numPr>
          <w:ilvl w:val="0"/>
          <w:numId w:val="1"/>
        </w:numPr>
        <w:tabs>
          <w:tab w:val="left" w:pos="1085"/>
        </w:tabs>
        <w:spacing w:before="0" w:after="0" w:line="240" w:lineRule="auto"/>
        <w:ind w:left="1084" w:right="0" w:hanging="323"/>
        <w:jc w:val="left"/>
        <w:rPr>
          <w:sz w:val="32"/>
        </w:rPr>
      </w:pPr>
      <w:r>
        <w:rPr>
          <w:sz w:val="32"/>
        </w:rPr>
        <w:t>引擎驱动与成效</w:t>
      </w:r>
    </w:p>
    <w:p>
      <w:pPr>
        <w:spacing w:after="0" w:line="240" w:lineRule="auto"/>
        <w:jc w:val="left"/>
        <w:rPr>
          <w:sz w:val="32"/>
        </w:rPr>
        <w:sectPr>
          <w:pgSz w:w="11910" w:h="16840"/>
          <w:pgMar w:top="1520" w:right="1520" w:bottom="1940" w:left="1680" w:header="0" w:footer="1741" w:gutter="0"/>
        </w:sectPr>
      </w:pPr>
    </w:p>
    <w:p>
      <w:pPr>
        <w:pStyle w:val="8"/>
        <w:numPr>
          <w:ilvl w:val="0"/>
          <w:numId w:val="4"/>
        </w:numPr>
        <w:tabs>
          <w:tab w:val="left" w:pos="1580"/>
        </w:tabs>
        <w:spacing w:before="30" w:after="0" w:line="326" w:lineRule="auto"/>
        <w:ind w:left="120" w:right="268" w:firstLine="640"/>
        <w:jc w:val="left"/>
        <w:rPr>
          <w:sz w:val="32"/>
        </w:rPr>
      </w:pPr>
      <w:r>
        <w:rPr>
          <w:spacing w:val="7"/>
          <w:w w:val="95"/>
          <w:sz w:val="32"/>
        </w:rPr>
        <w:t xml:space="preserve">学校领导是否重视诊改，扎实推进，师生员工是 </w:t>
      </w:r>
      <w:r>
        <w:rPr>
          <w:sz w:val="32"/>
        </w:rPr>
        <w:t>否普遍接受诊改理念，并落实于自觉行动中。</w:t>
      </w:r>
    </w:p>
    <w:p>
      <w:pPr>
        <w:pStyle w:val="8"/>
        <w:numPr>
          <w:ilvl w:val="0"/>
          <w:numId w:val="4"/>
        </w:numPr>
        <w:tabs>
          <w:tab w:val="left" w:pos="1580"/>
        </w:tabs>
        <w:spacing w:before="6" w:after="0" w:line="326" w:lineRule="auto"/>
        <w:ind w:left="120" w:right="268" w:firstLine="640"/>
        <w:jc w:val="both"/>
        <w:rPr>
          <w:sz w:val="32"/>
        </w:rPr>
      </w:pPr>
      <w:r>
        <w:rPr>
          <w:spacing w:val="7"/>
          <w:w w:val="95"/>
          <w:sz w:val="32"/>
        </w:rPr>
        <w:t xml:space="preserve">学校是否建立与内部质量保证体系相适应的考核 </w:t>
      </w:r>
      <w:r>
        <w:rPr>
          <w:spacing w:val="-3"/>
          <w:sz w:val="32"/>
        </w:rPr>
        <w:t>激励制度，将考核与自我诊改相结合，体现以外部监管为主向以自我诊改为主转变的走向。</w:t>
      </w:r>
    </w:p>
    <w:p>
      <w:pPr>
        <w:pStyle w:val="8"/>
        <w:numPr>
          <w:ilvl w:val="0"/>
          <w:numId w:val="4"/>
        </w:numPr>
        <w:tabs>
          <w:tab w:val="left" w:pos="1581"/>
        </w:tabs>
        <w:spacing w:before="7" w:after="0" w:line="326" w:lineRule="auto"/>
        <w:ind w:left="120" w:right="268" w:firstLine="640"/>
        <w:jc w:val="left"/>
        <w:rPr>
          <w:sz w:val="32"/>
        </w:rPr>
      </w:pPr>
      <w:r>
        <w:rPr>
          <w:spacing w:val="7"/>
          <w:w w:val="95"/>
          <w:sz w:val="32"/>
        </w:rPr>
        <w:t xml:space="preserve">各个主体的自我诊改是否逐渐趋向常态化。师生 </w:t>
      </w:r>
      <w:r>
        <w:rPr>
          <w:sz w:val="32"/>
        </w:rPr>
        <w:t>员工对学校诊改工作是否满意和有获得感。</w:t>
      </w:r>
    </w:p>
    <w:p>
      <w:pPr>
        <w:pStyle w:val="3"/>
        <w:spacing w:before="3"/>
      </w:pPr>
      <w:r>
        <w:t>（二）平台建设与应用</w:t>
      </w:r>
    </w:p>
    <w:p>
      <w:pPr>
        <w:pStyle w:val="4"/>
        <w:spacing w:before="152" w:line="326" w:lineRule="auto"/>
        <w:ind w:left="119" w:right="280" w:firstLine="640"/>
      </w:pPr>
      <w:r>
        <w:rPr>
          <w:spacing w:val="-2"/>
        </w:rPr>
        <w:t>复核学校平台对内部质量保证体系运行的支撑情况，重</w:t>
      </w:r>
      <w:r>
        <w:t>点复核平台的顶层设计、建设、应用及成效。</w:t>
      </w:r>
    </w:p>
    <w:p>
      <w:pPr>
        <w:pStyle w:val="8"/>
        <w:numPr>
          <w:ilvl w:val="0"/>
          <w:numId w:val="5"/>
        </w:numPr>
        <w:tabs>
          <w:tab w:val="left" w:pos="1083"/>
        </w:tabs>
        <w:spacing w:before="3" w:after="0" w:line="328" w:lineRule="auto"/>
        <w:ind w:left="119" w:right="280" w:firstLine="640"/>
        <w:jc w:val="left"/>
        <w:rPr>
          <w:sz w:val="32"/>
        </w:rPr>
      </w:pPr>
      <w:r>
        <w:rPr>
          <w:spacing w:val="-2"/>
          <w:sz w:val="32"/>
        </w:rPr>
        <w:t>学校是否按智能化要求对平台建设进行顶层设计，平</w:t>
      </w:r>
      <w:r>
        <w:rPr>
          <w:sz w:val="32"/>
        </w:rPr>
        <w:t>台架构是否具有实时、常态化支撑学校诊改工作的功能：</w:t>
      </w:r>
    </w:p>
    <w:p>
      <w:pPr>
        <w:pStyle w:val="8"/>
        <w:numPr>
          <w:ilvl w:val="0"/>
          <w:numId w:val="6"/>
        </w:numPr>
        <w:tabs>
          <w:tab w:val="left" w:pos="1563"/>
        </w:tabs>
        <w:spacing w:before="0" w:after="0" w:line="407" w:lineRule="exact"/>
        <w:ind w:left="1562" w:right="0" w:hanging="803"/>
        <w:jc w:val="left"/>
        <w:rPr>
          <w:sz w:val="32"/>
        </w:rPr>
      </w:pPr>
      <w:r>
        <w:rPr>
          <w:sz w:val="32"/>
        </w:rPr>
        <w:t>能够实现数据的源头、即时采集。</w:t>
      </w:r>
    </w:p>
    <w:p>
      <w:pPr>
        <w:pStyle w:val="8"/>
        <w:numPr>
          <w:ilvl w:val="0"/>
          <w:numId w:val="6"/>
        </w:numPr>
        <w:tabs>
          <w:tab w:val="left" w:pos="1563"/>
        </w:tabs>
        <w:spacing w:before="149" w:after="0" w:line="240" w:lineRule="auto"/>
        <w:ind w:left="1562" w:right="0" w:hanging="803"/>
        <w:jc w:val="left"/>
        <w:rPr>
          <w:sz w:val="32"/>
        </w:rPr>
      </w:pPr>
      <w:r>
        <w:rPr>
          <w:sz w:val="32"/>
        </w:rPr>
        <w:t>能够消除信息孤岛，实现数据的实时开放共享。</w:t>
      </w:r>
    </w:p>
    <w:p>
      <w:pPr>
        <w:pStyle w:val="8"/>
        <w:numPr>
          <w:ilvl w:val="0"/>
          <w:numId w:val="6"/>
        </w:numPr>
        <w:tabs>
          <w:tab w:val="left" w:pos="1563"/>
        </w:tabs>
        <w:spacing w:before="152" w:after="0" w:line="240" w:lineRule="auto"/>
        <w:ind w:left="1562" w:right="0" w:hanging="803"/>
        <w:jc w:val="left"/>
        <w:rPr>
          <w:sz w:val="32"/>
        </w:rPr>
      </w:pPr>
      <w:r>
        <w:rPr>
          <w:sz w:val="32"/>
        </w:rPr>
        <w:t>能够进行数据分析，并实时展现分析结果。</w:t>
      </w:r>
    </w:p>
    <w:p>
      <w:pPr>
        <w:pStyle w:val="8"/>
        <w:numPr>
          <w:ilvl w:val="0"/>
          <w:numId w:val="5"/>
        </w:numPr>
        <w:tabs>
          <w:tab w:val="left" w:pos="1083"/>
        </w:tabs>
        <w:spacing w:before="149" w:after="0" w:line="240" w:lineRule="auto"/>
        <w:ind w:left="1082" w:right="0" w:hanging="323"/>
        <w:jc w:val="left"/>
        <w:rPr>
          <w:sz w:val="32"/>
        </w:rPr>
      </w:pPr>
      <w:r>
        <w:rPr>
          <w:w w:val="95"/>
          <w:sz w:val="32"/>
        </w:rPr>
        <w:t>学校是否按照顶层设计蓝图，扎实推进平台建设。</w:t>
      </w:r>
    </w:p>
    <w:p>
      <w:pPr>
        <w:pStyle w:val="8"/>
        <w:numPr>
          <w:ilvl w:val="0"/>
          <w:numId w:val="5"/>
        </w:numPr>
        <w:tabs>
          <w:tab w:val="left" w:pos="1083"/>
        </w:tabs>
        <w:spacing w:before="149" w:after="0" w:line="328" w:lineRule="auto"/>
        <w:ind w:left="119" w:right="280" w:firstLine="640"/>
        <w:jc w:val="left"/>
        <w:rPr>
          <w:sz w:val="32"/>
        </w:rPr>
      </w:pPr>
      <w:r>
        <w:rPr>
          <w:spacing w:val="-3"/>
          <w:sz w:val="32"/>
        </w:rPr>
        <w:t>学校在数据分析、应用方面开展了哪些工作，取得了</w:t>
      </w:r>
      <w:r>
        <w:rPr>
          <w:sz w:val="32"/>
        </w:rPr>
        <w:t>哪些成效。</w:t>
      </w:r>
    </w:p>
    <w:p>
      <w:pPr>
        <w:pStyle w:val="4"/>
        <w:spacing w:line="407" w:lineRule="exact"/>
        <w:ind w:left="760"/>
        <w:rPr>
          <w:rFonts w:hint="eastAsia" w:ascii="黑体" w:eastAsia="黑体"/>
        </w:rPr>
      </w:pPr>
      <w:r>
        <w:rPr>
          <w:rFonts w:hint="eastAsia" w:ascii="黑体" w:eastAsia="黑体"/>
        </w:rPr>
        <w:t>四、复核程序</w:t>
      </w:r>
    </w:p>
    <w:p>
      <w:pPr>
        <w:pStyle w:val="3"/>
        <w:spacing w:before="149"/>
      </w:pPr>
      <w:r>
        <w:t>（一）学校自我诊断</w:t>
      </w:r>
    </w:p>
    <w:p>
      <w:pPr>
        <w:pStyle w:val="4"/>
        <w:spacing w:before="152" w:line="328" w:lineRule="auto"/>
        <w:ind w:left="119" w:right="266" w:firstLine="640"/>
        <w:jc w:val="both"/>
      </w:pPr>
      <w:r>
        <w:t>学校按照审核通过后公布的实施方案，建立了内部质量保证体系及诊改制度，并至少在三个以上层面开展了诊改工作的前提下，依据本指引明确的复核内容，逐项诊断，撰写学校内部质量保证体系自我诊断报告（参考格式见附件）。</w:t>
      </w:r>
    </w:p>
    <w:p>
      <w:pPr>
        <w:spacing w:after="0" w:line="328" w:lineRule="auto"/>
        <w:jc w:val="both"/>
        <w:sectPr>
          <w:pgSz w:w="11910" w:h="16840"/>
          <w:pgMar w:top="1520" w:right="1520" w:bottom="1620" w:left="1680" w:header="0" w:footer="1426" w:gutter="0"/>
        </w:sectPr>
      </w:pPr>
    </w:p>
    <w:p>
      <w:pPr>
        <w:pStyle w:val="3"/>
        <w:spacing w:before="30"/>
      </w:pPr>
      <w:r>
        <w:t>（二）学校申请复核</w:t>
      </w:r>
    </w:p>
    <w:p>
      <w:pPr>
        <w:pStyle w:val="4"/>
        <w:spacing w:before="149" w:line="328" w:lineRule="auto"/>
        <w:ind w:left="119" w:right="264" w:firstLine="640"/>
        <w:jc w:val="both"/>
      </w:pPr>
      <w:r>
        <w:rPr>
          <w:spacing w:val="14"/>
          <w:w w:val="95"/>
        </w:rPr>
        <w:t xml:space="preserve">全国诊改试点高职院校在达成实施方案目标任务和内 </w:t>
      </w:r>
      <w:r>
        <w:rPr>
          <w:spacing w:val="-2"/>
        </w:rPr>
        <w:t>部质量保证体系自我诊断的基础上，向全国诊改专委会</w:t>
      </w:r>
      <w:r>
        <w:t>（省级试点院校向省级诊改专委会</w:t>
      </w:r>
      <w:r>
        <w:rPr>
          <w:spacing w:val="-8"/>
        </w:rPr>
        <w:t>）</w:t>
      </w:r>
      <w:r>
        <w:rPr>
          <w:spacing w:val="-2"/>
        </w:rPr>
        <w:t>提出复核申请，并提供相关网站网址和学校平台登录账号。</w:t>
      </w:r>
    </w:p>
    <w:p>
      <w:pPr>
        <w:pStyle w:val="3"/>
        <w:spacing w:line="405" w:lineRule="exact"/>
      </w:pPr>
      <w:r>
        <w:t>（三）专委会制定计划</w:t>
      </w:r>
    </w:p>
    <w:p>
      <w:pPr>
        <w:pStyle w:val="4"/>
        <w:spacing w:before="150" w:line="328" w:lineRule="auto"/>
        <w:ind w:left="119" w:right="278" w:firstLine="640"/>
        <w:jc w:val="both"/>
      </w:pPr>
      <w:r>
        <w:rPr>
          <w:spacing w:val="-2"/>
        </w:rPr>
        <w:t>全国诊改专委会根据全国试点院校申请，与省级教育行政部门协商</w:t>
      </w:r>
      <w:r>
        <w:t>（</w:t>
      </w:r>
      <w:r>
        <w:rPr>
          <w:spacing w:val="-1"/>
        </w:rPr>
        <w:t>省级诊改专委会根据省级试点院校申请，报省级教育行政部门批准</w:t>
      </w:r>
      <w:r>
        <w:rPr>
          <w:spacing w:val="-4"/>
        </w:rPr>
        <w:t>），制定复核工作计划，邀请和培训复</w:t>
      </w:r>
      <w:r>
        <w:t>核专家。</w:t>
      </w:r>
    </w:p>
    <w:p>
      <w:pPr>
        <w:pStyle w:val="3"/>
        <w:spacing w:line="402" w:lineRule="exact"/>
      </w:pPr>
      <w:r>
        <w:t>（四）专家组复核</w:t>
      </w:r>
    </w:p>
    <w:p>
      <w:pPr>
        <w:pStyle w:val="8"/>
        <w:numPr>
          <w:ilvl w:val="0"/>
          <w:numId w:val="7"/>
        </w:numPr>
        <w:tabs>
          <w:tab w:val="left" w:pos="1083"/>
        </w:tabs>
        <w:spacing w:before="151" w:after="0" w:line="240" w:lineRule="auto"/>
        <w:ind w:left="1082" w:right="0" w:hanging="323"/>
        <w:jc w:val="left"/>
        <w:rPr>
          <w:sz w:val="32"/>
        </w:rPr>
      </w:pPr>
      <w:r>
        <w:rPr>
          <w:sz w:val="32"/>
        </w:rPr>
        <w:t>网上复核</w:t>
      </w:r>
    </w:p>
    <w:p>
      <w:pPr>
        <w:pStyle w:val="4"/>
        <w:spacing w:before="149" w:line="328" w:lineRule="auto"/>
        <w:ind w:left="119" w:right="277" w:firstLine="640"/>
        <w:jc w:val="both"/>
      </w:pPr>
      <w:r>
        <w:rPr>
          <w:spacing w:val="-3"/>
        </w:rPr>
        <w:t>申请复核的学校按照工作计划，必须提前两周在学校相关网站或平台公布有关信息，包括学校实施方案、学校“十</w:t>
      </w:r>
      <w:r>
        <w:rPr>
          <w:spacing w:val="-5"/>
        </w:rPr>
        <w:t>三五”事业发展规划、正在实施的专业建设规划及专业人才培养方案、正在实施的课程建设计划、平台建设方案、最近</w:t>
      </w:r>
      <w:r>
        <w:rPr>
          <w:spacing w:val="-7"/>
        </w:rPr>
        <w:t>两年的人才培养质量年度报告、学校内部质量保证体系自我</w:t>
      </w:r>
      <w:r>
        <w:rPr>
          <w:spacing w:val="-3"/>
        </w:rPr>
        <w:t>诊断报告、内部质量保证体系建设与运行的制度、学校诊改</w:t>
      </w:r>
      <w:r>
        <w:rPr>
          <w:spacing w:val="-8"/>
        </w:rPr>
        <w:t xml:space="preserve">工作汇报和推荐的 </w:t>
      </w:r>
      <w:r>
        <w:t>6</w:t>
      </w:r>
      <w:r>
        <w:rPr>
          <w:spacing w:val="-16"/>
        </w:rPr>
        <w:t xml:space="preserve"> 个专业及 </w:t>
      </w:r>
      <w:r>
        <w:t>12</w:t>
      </w:r>
      <w:r>
        <w:rPr>
          <w:spacing w:val="-7"/>
        </w:rPr>
        <w:t xml:space="preserve"> 门课程层面诊改工作汇报PPT。</w:t>
      </w:r>
    </w:p>
    <w:p>
      <w:pPr>
        <w:pStyle w:val="4"/>
        <w:spacing w:line="397" w:lineRule="exact"/>
        <w:ind w:left="760"/>
      </w:pPr>
      <w:r>
        <w:t>专家组成员浏览学校提供的网上信息，针对复核内容审</w:t>
      </w:r>
    </w:p>
    <w:p>
      <w:pPr>
        <w:pStyle w:val="4"/>
        <w:spacing w:before="150" w:line="326" w:lineRule="auto"/>
        <w:ind w:left="119" w:right="235"/>
      </w:pPr>
      <w:r>
        <w:t>阅学校相关材料与信息，了解学校诊改工作状态，形成初步意见。</w:t>
      </w:r>
    </w:p>
    <w:p>
      <w:pPr>
        <w:spacing w:after="0" w:line="326" w:lineRule="auto"/>
        <w:sectPr>
          <w:pgSz w:w="11910" w:h="16840"/>
          <w:pgMar w:top="1520" w:right="1520" w:bottom="1940" w:left="1680" w:header="0" w:footer="1741" w:gutter="0"/>
        </w:sectPr>
      </w:pPr>
    </w:p>
    <w:p>
      <w:pPr>
        <w:pStyle w:val="8"/>
        <w:numPr>
          <w:ilvl w:val="0"/>
          <w:numId w:val="7"/>
        </w:numPr>
        <w:tabs>
          <w:tab w:val="left" w:pos="1083"/>
        </w:tabs>
        <w:spacing w:before="30" w:after="0" w:line="240" w:lineRule="auto"/>
        <w:ind w:left="1082" w:right="0" w:hanging="323"/>
        <w:jc w:val="left"/>
        <w:rPr>
          <w:sz w:val="32"/>
        </w:rPr>
      </w:pPr>
      <w:r>
        <w:rPr>
          <w:sz w:val="32"/>
        </w:rPr>
        <w:t>现场复核</w:t>
      </w:r>
    </w:p>
    <w:p>
      <w:pPr>
        <w:pStyle w:val="4"/>
        <w:spacing w:before="149" w:line="328" w:lineRule="auto"/>
        <w:ind w:left="119" w:right="275" w:firstLine="640"/>
        <w:jc w:val="both"/>
      </w:pPr>
      <w:r>
        <w:rPr>
          <w:spacing w:val="-4"/>
        </w:rPr>
        <w:t>专家组进校，通过数据分析、状态考察、面上调查、深</w:t>
      </w:r>
      <w:r>
        <w:rPr>
          <w:spacing w:val="-3"/>
        </w:rPr>
        <w:t>入研讨、取样分析、多维建构等多种形式，围绕复核内容进</w:t>
      </w:r>
      <w:r>
        <w:rPr>
          <w:spacing w:val="-9"/>
        </w:rPr>
        <w:t xml:space="preserve">行现场复核。专家组进校工作时间 </w:t>
      </w:r>
      <w:r>
        <w:t>2-3</w:t>
      </w:r>
      <w:r>
        <w:rPr>
          <w:spacing w:val="-46"/>
        </w:rPr>
        <w:t xml:space="preserve"> 天</w:t>
      </w:r>
      <w:r>
        <w:t>（专家工作手册另行制定）。</w:t>
      </w:r>
    </w:p>
    <w:p>
      <w:pPr>
        <w:pStyle w:val="4"/>
        <w:spacing w:line="326" w:lineRule="auto"/>
        <w:ind w:left="119" w:right="234" w:firstLine="640"/>
      </w:pPr>
      <w:r>
        <w:t>现场复核后形成现场复核报告，以会议交流形式向学校反馈复核相关情况及建议。</w:t>
      </w:r>
    </w:p>
    <w:p>
      <w:pPr>
        <w:pStyle w:val="3"/>
      </w:pPr>
      <w:r>
        <w:t>（五）公布复核结论</w:t>
      </w:r>
    </w:p>
    <w:p>
      <w:pPr>
        <w:pStyle w:val="4"/>
        <w:spacing w:before="150"/>
        <w:ind w:left="760"/>
      </w:pPr>
      <w:r>
        <w:t>专家组在现场复核报告基础上形成复核结论，经教育部</w:t>
      </w:r>
    </w:p>
    <w:p>
      <w:pPr>
        <w:pStyle w:val="4"/>
        <w:spacing w:before="149" w:line="328" w:lineRule="auto"/>
        <w:ind w:left="119" w:right="276"/>
        <w:jc w:val="both"/>
      </w:pPr>
      <w:r>
        <w:rPr>
          <w:spacing w:val="14"/>
          <w:w w:val="95"/>
        </w:rPr>
        <w:t>（</w:t>
      </w:r>
      <w:r>
        <w:rPr>
          <w:spacing w:val="11"/>
          <w:w w:val="95"/>
        </w:rPr>
        <w:t xml:space="preserve">省级试点院校复核结论由省级诊改专委会报请省教育行 </w:t>
      </w:r>
      <w:r>
        <w:t>政部门</w:t>
      </w:r>
      <w:r>
        <w:rPr>
          <w:spacing w:val="-5"/>
        </w:rPr>
        <w:t>）</w:t>
      </w:r>
      <w:r>
        <w:rPr>
          <w:spacing w:val="-2"/>
        </w:rPr>
        <w:t>审定后，通过职业教育诊改网或省级教育行政部门</w:t>
      </w:r>
      <w:r>
        <w:rPr>
          <w:spacing w:val="-7"/>
        </w:rPr>
        <w:t xml:space="preserve">指定的网站向社会公布。复核结论分为 </w:t>
      </w:r>
      <w:r>
        <w:t>2</w:t>
      </w:r>
      <w:r>
        <w:rPr>
          <w:spacing w:val="-27"/>
        </w:rPr>
        <w:t xml:space="preserve"> 种。</w:t>
      </w:r>
    </w:p>
    <w:p>
      <w:pPr>
        <w:pStyle w:val="8"/>
        <w:numPr>
          <w:ilvl w:val="0"/>
          <w:numId w:val="8"/>
        </w:numPr>
        <w:tabs>
          <w:tab w:val="left" w:pos="1085"/>
        </w:tabs>
        <w:spacing w:before="0" w:after="0" w:line="405" w:lineRule="exact"/>
        <w:ind w:left="1084" w:right="0" w:hanging="322"/>
        <w:jc w:val="left"/>
        <w:rPr>
          <w:sz w:val="32"/>
        </w:rPr>
      </w:pPr>
      <w:r>
        <w:rPr>
          <w:b/>
          <w:sz w:val="32"/>
        </w:rPr>
        <w:t>有效</w:t>
      </w:r>
      <w:r>
        <w:rPr>
          <w:sz w:val="32"/>
        </w:rPr>
        <w:t>——在体系和平台建设上同时达到以下要求：</w:t>
      </w:r>
    </w:p>
    <w:p>
      <w:pPr>
        <w:pStyle w:val="8"/>
        <w:numPr>
          <w:ilvl w:val="0"/>
          <w:numId w:val="9"/>
        </w:numPr>
        <w:tabs>
          <w:tab w:val="left" w:pos="1580"/>
        </w:tabs>
        <w:spacing w:before="149" w:after="0" w:line="328" w:lineRule="auto"/>
        <w:ind w:left="120" w:right="268" w:firstLine="640"/>
        <w:jc w:val="left"/>
        <w:rPr>
          <w:sz w:val="32"/>
        </w:rPr>
      </w:pPr>
      <w:r>
        <w:rPr>
          <w:spacing w:val="7"/>
          <w:w w:val="95"/>
          <w:sz w:val="32"/>
        </w:rPr>
        <w:t xml:space="preserve">内部质量保证体系基本形成，至少有包括专业和 </w:t>
      </w:r>
      <w:r>
        <w:rPr>
          <w:sz w:val="32"/>
        </w:rPr>
        <w:t>课程层面在内的三个层面的螺旋已经建立并运行有效。</w:t>
      </w:r>
    </w:p>
    <w:p>
      <w:pPr>
        <w:pStyle w:val="8"/>
        <w:numPr>
          <w:ilvl w:val="0"/>
          <w:numId w:val="9"/>
        </w:numPr>
        <w:tabs>
          <w:tab w:val="left" w:pos="1580"/>
        </w:tabs>
        <w:spacing w:before="0" w:after="0" w:line="326" w:lineRule="auto"/>
        <w:ind w:left="120" w:right="268" w:firstLine="640"/>
        <w:jc w:val="left"/>
        <w:rPr>
          <w:sz w:val="32"/>
        </w:rPr>
      </w:pPr>
      <w:r>
        <w:rPr>
          <w:spacing w:val="7"/>
          <w:w w:val="95"/>
          <w:sz w:val="32"/>
        </w:rPr>
        <w:t xml:space="preserve">平台建设顶层设计先进、可行，并正按规划要求 </w:t>
      </w:r>
      <w:r>
        <w:rPr>
          <w:sz w:val="32"/>
        </w:rPr>
        <w:t>和实际节点扎实推进。</w:t>
      </w:r>
    </w:p>
    <w:p>
      <w:pPr>
        <w:pStyle w:val="8"/>
        <w:numPr>
          <w:ilvl w:val="0"/>
          <w:numId w:val="8"/>
        </w:numPr>
        <w:tabs>
          <w:tab w:val="left" w:pos="1085"/>
        </w:tabs>
        <w:spacing w:before="3" w:after="0" w:line="326" w:lineRule="auto"/>
        <w:ind w:left="760" w:right="278" w:firstLine="2"/>
        <w:jc w:val="left"/>
        <w:rPr>
          <w:sz w:val="32"/>
        </w:rPr>
      </w:pPr>
      <w:r>
        <w:rPr>
          <w:b/>
          <w:sz w:val="32"/>
        </w:rPr>
        <w:t>待改进</w:t>
      </w:r>
      <w:r>
        <w:rPr>
          <w:sz w:val="32"/>
        </w:rPr>
        <w:t xml:space="preserve">——尚未同时达到上述“有效”结论要求。 </w:t>
      </w:r>
      <w:r>
        <w:rPr>
          <w:spacing w:val="-3"/>
          <w:w w:val="95"/>
          <w:sz w:val="32"/>
        </w:rPr>
        <w:t>结论为待改进的学校，须在完成待改进的任务后申请再</w:t>
      </w:r>
    </w:p>
    <w:p>
      <w:pPr>
        <w:pStyle w:val="4"/>
        <w:spacing w:before="4"/>
        <w:ind w:left="119"/>
      </w:pPr>
      <w:r>
        <w:rPr>
          <w:w w:val="95"/>
        </w:rPr>
        <w:t>复核。</w:t>
      </w:r>
    </w:p>
    <w:p>
      <w:pPr>
        <w:pStyle w:val="4"/>
        <w:spacing w:before="151"/>
        <w:ind w:left="760"/>
        <w:rPr>
          <w:rFonts w:hint="eastAsia" w:ascii="黑体" w:eastAsia="黑体"/>
        </w:rPr>
      </w:pPr>
      <w:r>
        <w:rPr>
          <w:rFonts w:hint="eastAsia" w:ascii="黑体" w:eastAsia="黑体"/>
        </w:rPr>
        <w:t>五、工作要求</w:t>
      </w:r>
    </w:p>
    <w:p>
      <w:pPr>
        <w:pStyle w:val="4"/>
        <w:spacing w:before="149" w:line="328" w:lineRule="auto"/>
        <w:ind w:left="120" w:right="277" w:firstLine="640"/>
        <w:jc w:val="both"/>
      </w:pPr>
      <w:r>
        <w:t>（一</w:t>
      </w:r>
      <w:r>
        <w:rPr>
          <w:spacing w:val="-8"/>
        </w:rPr>
        <w:t>）</w:t>
      </w:r>
      <w:r>
        <w:rPr>
          <w:spacing w:val="-2"/>
        </w:rPr>
        <w:t>复核工作严格遵循教育部诊改工作通知有关“工</w:t>
      </w:r>
      <w:r>
        <w:rPr>
          <w:spacing w:val="-3"/>
        </w:rPr>
        <w:t>作组织”和“纪律与监督”等要求，坚持以促进学校诊改制</w:t>
      </w:r>
      <w:r>
        <w:rPr>
          <w:spacing w:val="-4"/>
        </w:rPr>
        <w:t>度建设为重心，不得将注意力转移到对学校内部常规管理和</w:t>
      </w:r>
    </w:p>
    <w:p>
      <w:pPr>
        <w:spacing w:after="0" w:line="328" w:lineRule="auto"/>
        <w:jc w:val="both"/>
        <w:sectPr>
          <w:pgSz w:w="11910" w:h="16840"/>
          <w:pgMar w:top="1520" w:right="1520" w:bottom="1620" w:left="1680" w:header="0" w:footer="1426" w:gutter="0"/>
        </w:sectPr>
      </w:pPr>
    </w:p>
    <w:p>
      <w:pPr>
        <w:pStyle w:val="4"/>
        <w:spacing w:before="30" w:line="326" w:lineRule="auto"/>
        <w:ind w:left="120" w:right="233"/>
      </w:pPr>
      <w:r>
        <w:t>日常教学工作的议论、评价上，更不得影响学校正常工作和教学秩序。</w:t>
      </w:r>
    </w:p>
    <w:p>
      <w:pPr>
        <w:pStyle w:val="4"/>
        <w:spacing w:before="6" w:line="328" w:lineRule="auto"/>
        <w:ind w:left="120" w:right="266" w:firstLine="640"/>
        <w:jc w:val="both"/>
      </w:pPr>
      <w:r>
        <w:t>（二）试点院校复核工作以两级诊改专委会为主组织实施。全国诊改试点高职院校的复核工作由全国诊改专委会直接组织并纳入各地复核工作计划。省级诊改专委会结合各地试点工作进展情况，因地制宜、实事求是地开展诊改复核工作，切忌赶进度、走形式，避免复核工作评估化、项目化、运动化。复核工作经费由省级诊改专委会报请省级教育行政部门统筹安排。</w:t>
      </w:r>
    </w:p>
    <w:p>
      <w:pPr>
        <w:pStyle w:val="4"/>
        <w:spacing w:line="397" w:lineRule="exact"/>
        <w:ind w:left="760"/>
      </w:pPr>
      <w:r>
        <w:t>（三）试点院校复核工作原则上按试点文件要求执行，</w:t>
      </w:r>
    </w:p>
    <w:p>
      <w:pPr>
        <w:pStyle w:val="4"/>
        <w:spacing w:before="149" w:line="328" w:lineRule="auto"/>
        <w:ind w:left="120" w:right="277"/>
        <w:jc w:val="both"/>
      </w:pPr>
      <w:r>
        <w:rPr>
          <w:spacing w:val="-2"/>
        </w:rPr>
        <w:t>全国诊改试点高职院校的试点周期原定三年，试点院校根据实际情况可向全国诊改专委会申请延期一年复核，报教育部</w:t>
      </w:r>
      <w:r>
        <w:rPr>
          <w:spacing w:val="-4"/>
        </w:rPr>
        <w:t>备案。逾期未开展复核的学校，全国诊改专委会商省级教育</w:t>
      </w:r>
      <w:r>
        <w:rPr>
          <w:spacing w:val="-6"/>
        </w:rPr>
        <w:t>行政部门审定后，不再列为试点院校，报教育部备案。省级</w:t>
      </w:r>
      <w:r>
        <w:rPr>
          <w:spacing w:val="-3"/>
        </w:rPr>
        <w:t>诊改专委会可根据需要，报请省级教育行政部门调整递补省</w:t>
      </w:r>
      <w:r>
        <w:t>级试点院校。</w:t>
      </w:r>
    </w:p>
    <w:p>
      <w:pPr>
        <w:pStyle w:val="4"/>
        <w:spacing w:line="328" w:lineRule="auto"/>
        <w:ind w:left="120" w:right="119" w:firstLine="640"/>
        <w:jc w:val="both"/>
      </w:pPr>
      <w:r>
        <w:t>（四）复核专家必须廉洁自律、谦虚谨慎、光明磊落。</w:t>
      </w:r>
      <w:r>
        <w:rPr>
          <w:spacing w:val="-1"/>
        </w:rPr>
        <w:t>被确定为复核专家组成员后，不得接受邀请参加被复核学校</w:t>
      </w:r>
      <w:r>
        <w:rPr>
          <w:spacing w:val="-4"/>
        </w:rPr>
        <w:t>的诊改辅导、讲座等活动，如有违反，即从复核专家名单中</w:t>
      </w:r>
      <w:r>
        <w:rPr>
          <w:spacing w:val="-5"/>
        </w:rPr>
        <w:t>剔除并在一定范围内公布。被复核学校不得超标准接待，不</w:t>
      </w:r>
      <w:r>
        <w:rPr>
          <w:spacing w:val="-16"/>
        </w:rPr>
        <w:t>得给专家送纪念品，不搞迎来送往，不搞与复核无关的活动。</w:t>
      </w:r>
    </w:p>
    <w:p>
      <w:pPr>
        <w:spacing w:after="0" w:line="328" w:lineRule="auto"/>
        <w:jc w:val="both"/>
        <w:sectPr>
          <w:pgSz w:w="11910" w:h="16840"/>
          <w:pgMar w:top="1520" w:right="1520" w:bottom="1940" w:left="1680" w:header="0" w:footer="1741" w:gutter="0"/>
        </w:sectPr>
      </w:pPr>
    </w:p>
    <w:p>
      <w:pPr>
        <w:pStyle w:val="4"/>
        <w:spacing w:before="30" w:line="328" w:lineRule="auto"/>
        <w:ind w:left="119" w:right="280" w:firstLine="640"/>
        <w:jc w:val="both"/>
      </w:pPr>
      <w:r>
        <w:t>（五</w:t>
      </w:r>
      <w:r>
        <w:rPr>
          <w:spacing w:val="-5"/>
        </w:rPr>
        <w:t>）</w:t>
      </w:r>
      <w:r>
        <w:rPr>
          <w:spacing w:val="-3"/>
        </w:rPr>
        <w:t>诊改相关政策文件、复核专家组名单、接受复核院校应公示的材料，以及复核结论等，需在相关网站集中公</w:t>
      </w:r>
      <w:r>
        <w:t>布，接受社会监督。</w:t>
      </w:r>
    </w:p>
    <w:p>
      <w:pPr>
        <w:pStyle w:val="4"/>
        <w:spacing w:before="3"/>
        <w:rPr>
          <w:sz w:val="43"/>
        </w:rPr>
      </w:pPr>
    </w:p>
    <w:p>
      <w:pPr>
        <w:pStyle w:val="4"/>
        <w:ind w:left="760"/>
      </w:pPr>
      <w:r>
        <w:rPr>
          <w:spacing w:val="-15"/>
        </w:rPr>
        <w:t>附件：学校内部质量保证体系自我诊断报告</w:t>
      </w:r>
      <w:r>
        <w:t>（参考格式）</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2"/>
        <w:rPr>
          <w:sz w:val="19"/>
        </w:rPr>
      </w:pPr>
      <w:r>
        <w:pict>
          <v:line id="_x0000_s1027" o:spid="_x0000_s1027" o:spt="20" style="position:absolute;left:0pt;margin-left:90pt;margin-top:14.8pt;height:0pt;width:417pt;mso-position-horizontal-relative:page;mso-wrap-distance-bottom:0pt;mso-wrap-distance-top:0pt;z-index:-251656192;mso-width-relative:page;mso-height-relative:page;" stroked="t" coordsize="21600,21600">
            <v:path arrowok="t"/>
            <v:fill focussize="0,0"/>
            <v:stroke weight="1.15pt" color="#000000"/>
            <v:imagedata o:title=""/>
            <o:lock v:ext="edit"/>
            <w10:wrap type="topAndBottom"/>
          </v:line>
        </w:pict>
      </w:r>
    </w:p>
    <w:p>
      <w:pPr>
        <w:tabs>
          <w:tab w:val="left" w:pos="5762"/>
        </w:tabs>
        <w:spacing w:before="80"/>
        <w:ind w:left="360" w:right="0" w:firstLine="0"/>
        <w:jc w:val="left"/>
        <w:rPr>
          <w:sz w:val="28"/>
        </w:rPr>
      </w:pPr>
      <w:r>
        <w:rPr>
          <w:spacing w:val="-41"/>
          <w:sz w:val="28"/>
        </w:rPr>
        <w:t>全国职业院校教学工作</w:t>
      </w:r>
      <w:r>
        <w:rPr>
          <w:spacing w:val="-42"/>
          <w:sz w:val="28"/>
        </w:rPr>
        <w:t>诊</w:t>
      </w:r>
      <w:r>
        <w:rPr>
          <w:spacing w:val="-41"/>
          <w:sz w:val="28"/>
        </w:rPr>
        <w:t>断与改进专家委</w:t>
      </w:r>
      <w:r>
        <w:rPr>
          <w:spacing w:val="-42"/>
          <w:sz w:val="28"/>
        </w:rPr>
        <w:t>员</w:t>
      </w:r>
      <w:r>
        <w:rPr>
          <w:sz w:val="28"/>
        </w:rPr>
        <w:t>会</w:t>
      </w:r>
      <w:r>
        <w:rPr>
          <w:sz w:val="28"/>
        </w:rPr>
        <w:tab/>
      </w:r>
      <w:r>
        <w:rPr>
          <w:spacing w:val="-16"/>
          <w:sz w:val="28"/>
        </w:rPr>
        <w:t>2018</w:t>
      </w:r>
      <w:r>
        <w:rPr>
          <w:spacing w:val="-103"/>
          <w:sz w:val="28"/>
        </w:rPr>
        <w:t xml:space="preserve"> </w:t>
      </w:r>
      <w:r>
        <w:rPr>
          <w:spacing w:val="21"/>
          <w:sz w:val="28"/>
        </w:rPr>
        <w:t>年</w:t>
      </w:r>
      <w:r>
        <w:rPr>
          <w:spacing w:val="-11"/>
          <w:sz w:val="28"/>
        </w:rPr>
        <w:t>12</w:t>
      </w:r>
      <w:r>
        <w:rPr>
          <w:spacing w:val="-102"/>
          <w:sz w:val="28"/>
        </w:rPr>
        <w:t xml:space="preserve"> </w:t>
      </w:r>
      <w:r>
        <w:rPr>
          <w:spacing w:val="21"/>
          <w:sz w:val="28"/>
        </w:rPr>
        <w:t>月</w:t>
      </w:r>
      <w:r>
        <w:rPr>
          <w:spacing w:val="-11"/>
          <w:sz w:val="28"/>
        </w:rPr>
        <w:t>29</w:t>
      </w:r>
      <w:r>
        <w:rPr>
          <w:spacing w:val="-102"/>
          <w:sz w:val="28"/>
        </w:rPr>
        <w:t xml:space="preserve"> </w:t>
      </w:r>
      <w:r>
        <w:rPr>
          <w:spacing w:val="-41"/>
          <w:sz w:val="28"/>
        </w:rPr>
        <w:t>日印</w:t>
      </w:r>
      <w:r>
        <w:rPr>
          <w:sz w:val="28"/>
        </w:rPr>
        <w:t>发</w:t>
      </w:r>
    </w:p>
    <w:p>
      <w:pPr>
        <w:pStyle w:val="4"/>
        <w:spacing w:before="11"/>
        <w:rPr>
          <w:sz w:val="8"/>
        </w:rPr>
      </w:pPr>
      <w:r>
        <w:pict>
          <v:line id="_x0000_s1028" o:spid="_x0000_s1028" o:spt="20" style="position:absolute;left:0pt;margin-left:90pt;margin-top:8.25pt;height:0pt;width:417pt;mso-position-horizontal-relative:page;mso-wrap-distance-bottom:0pt;mso-wrap-distance-top:0pt;z-index:-251655168;mso-width-relative:page;mso-height-relative:page;" stroked="t" coordsize="21600,21600">
            <v:path arrowok="t"/>
            <v:fill focussize="0,0"/>
            <v:stroke weight="1.15pt" color="#000000"/>
            <v:imagedata o:title=""/>
            <o:lock v:ext="edit"/>
            <w10:wrap type="topAndBottom"/>
          </v:line>
        </w:pict>
      </w:r>
    </w:p>
    <w:p>
      <w:pPr>
        <w:spacing w:after="0"/>
        <w:rPr>
          <w:sz w:val="8"/>
        </w:rPr>
        <w:sectPr>
          <w:pgSz w:w="11910" w:h="16840"/>
          <w:pgMar w:top="1520" w:right="1520" w:bottom="1620" w:left="1680" w:header="0" w:footer="1426" w:gutter="0"/>
        </w:sectPr>
      </w:pPr>
    </w:p>
    <w:p>
      <w:pPr>
        <w:pStyle w:val="4"/>
        <w:rPr>
          <w:sz w:val="20"/>
        </w:rPr>
      </w:pPr>
    </w:p>
    <w:p>
      <w:pPr>
        <w:pStyle w:val="4"/>
        <w:rPr>
          <w:sz w:val="20"/>
        </w:rPr>
      </w:pPr>
    </w:p>
    <w:p>
      <w:pPr>
        <w:pStyle w:val="4"/>
        <w:spacing w:before="9"/>
        <w:rPr>
          <w:sz w:val="19"/>
        </w:rPr>
      </w:pPr>
    </w:p>
    <w:p>
      <w:pPr>
        <w:pStyle w:val="4"/>
        <w:spacing w:before="55"/>
        <w:ind w:left="120"/>
        <w:rPr>
          <w:rFonts w:hint="eastAsia" w:ascii="黑体" w:eastAsia="黑体"/>
        </w:rPr>
      </w:pPr>
      <w:r>
        <w:rPr>
          <w:rFonts w:hint="eastAsia" w:ascii="黑体" w:eastAsia="黑体"/>
        </w:rPr>
        <w:t>附件</w:t>
      </w:r>
    </w:p>
    <w:p>
      <w:pPr>
        <w:spacing w:before="29"/>
        <w:ind w:left="3212" w:right="3374" w:firstLine="0"/>
        <w:jc w:val="center"/>
        <w:rPr>
          <w:rFonts w:hint="eastAsia" w:ascii="宋体" w:eastAsia="宋体"/>
          <w:b/>
          <w:sz w:val="44"/>
        </w:rPr>
      </w:pPr>
      <w:r>
        <w:rPr>
          <w:rFonts w:hint="eastAsia" w:ascii="宋体" w:eastAsia="宋体"/>
          <w:b/>
          <w:sz w:val="44"/>
        </w:rPr>
        <w:t>XX 学院内部质量保证体系自我诊断报告</w:t>
      </w:r>
    </w:p>
    <w:p>
      <w:pPr>
        <w:pStyle w:val="4"/>
        <w:spacing w:before="115"/>
        <w:ind w:left="3212" w:right="2737"/>
        <w:jc w:val="center"/>
        <w:rPr>
          <w:rFonts w:hint="eastAsia" w:ascii="宋体" w:eastAsia="宋体"/>
        </w:rPr>
      </w:pPr>
      <w:r>
        <w:rPr>
          <w:rFonts w:hint="eastAsia" w:ascii="宋体" w:eastAsia="宋体"/>
        </w:rPr>
        <w:t>（参考格式）</w:t>
      </w:r>
    </w:p>
    <w:p>
      <w:pPr>
        <w:pStyle w:val="4"/>
        <w:spacing w:before="7"/>
        <w:rPr>
          <w:rFonts w:ascii="宋体"/>
          <w:sz w:val="22"/>
        </w:rPr>
      </w:pPr>
    </w:p>
    <w:p>
      <w:pPr>
        <w:spacing w:before="62"/>
        <w:ind w:left="120" w:right="0" w:firstLine="0"/>
        <w:jc w:val="left"/>
        <w:rPr>
          <w:b/>
          <w:sz w:val="28"/>
        </w:rPr>
      </w:pPr>
      <w:r>
        <w:rPr>
          <w:b/>
          <w:sz w:val="28"/>
        </w:rPr>
        <w:t>学校名称：</w:t>
      </w:r>
    </w:p>
    <w:p>
      <w:pPr>
        <w:spacing w:before="111"/>
        <w:ind w:left="679" w:right="0" w:firstLine="0"/>
        <w:jc w:val="left"/>
        <w:rPr>
          <w:sz w:val="28"/>
        </w:rPr>
      </w:pPr>
      <w:r>
        <w:rPr>
          <w:sz w:val="28"/>
        </w:rPr>
        <w:t>一、学校诊改工作概述</w:t>
      </w:r>
    </w:p>
    <w:p>
      <w:pPr>
        <w:spacing w:before="113" w:line="316" w:lineRule="auto"/>
        <w:ind w:left="119" w:right="117" w:firstLine="480"/>
        <w:jc w:val="left"/>
        <w:rPr>
          <w:sz w:val="24"/>
        </w:rPr>
      </w:pPr>
      <w:r>
        <w:rPr>
          <w:spacing w:val="-9"/>
          <w:sz w:val="24"/>
        </w:rPr>
        <w:t xml:space="preserve">对照指引中的复核内容，概述学校在纵向两链打造，学校、专业、课程、教师、学生五个层面的 </w:t>
      </w:r>
      <w:r>
        <w:rPr>
          <w:sz w:val="24"/>
        </w:rPr>
        <w:t>8</w:t>
      </w:r>
      <w:r>
        <w:rPr>
          <w:spacing w:val="-8"/>
          <w:sz w:val="24"/>
        </w:rPr>
        <w:t xml:space="preserve"> 字形质量改进螺旋建立与运行</w:t>
      </w:r>
      <w:r>
        <w:rPr>
          <w:spacing w:val="-11"/>
          <w:sz w:val="32"/>
        </w:rPr>
        <w:t xml:space="preserve">， </w:t>
      </w:r>
      <w:r>
        <w:rPr>
          <w:sz w:val="24"/>
        </w:rPr>
        <w:t>质量文化与机制引擎驱动与成效；学校教育教学管理信息化平台建设等的总体情况，以及学校诊改工作所取得的成效（成效主要聚焦目标达成情况）</w:t>
      </w:r>
      <w:r>
        <w:rPr>
          <w:spacing w:val="-5"/>
          <w:sz w:val="24"/>
        </w:rPr>
        <w:t xml:space="preserve">与存在的瓶颈或短板。建议在 </w:t>
      </w:r>
      <w:r>
        <w:rPr>
          <w:sz w:val="24"/>
        </w:rPr>
        <w:t>2000</w:t>
      </w:r>
      <w:r>
        <w:rPr>
          <w:spacing w:val="-12"/>
          <w:sz w:val="24"/>
        </w:rPr>
        <w:t xml:space="preserve"> 字左右。</w:t>
      </w:r>
    </w:p>
    <w:p>
      <w:pPr>
        <w:spacing w:before="0" w:line="356" w:lineRule="exact"/>
        <w:ind w:left="679" w:right="0" w:firstLine="0"/>
        <w:jc w:val="left"/>
        <w:rPr>
          <w:sz w:val="28"/>
        </w:rPr>
      </w:pPr>
      <w:r>
        <w:rPr>
          <w:sz w:val="28"/>
        </w:rPr>
        <w:t>二、学校自我诊断参考表</w:t>
      </w:r>
    </w:p>
    <w:p>
      <w:pPr>
        <w:pStyle w:val="4"/>
        <w:spacing w:before="10"/>
        <w:rPr>
          <w:sz w:val="8"/>
        </w:rPr>
      </w:pPr>
    </w:p>
    <w:tbl>
      <w:tblPr>
        <w:tblStyle w:val="6"/>
        <w:tblW w:w="13815"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5"/>
        <w:gridCol w:w="4524"/>
        <w:gridCol w:w="3816"/>
        <w:gridCol w:w="3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1805" w:type="dxa"/>
          </w:tcPr>
          <w:p>
            <w:pPr>
              <w:pStyle w:val="9"/>
              <w:spacing w:before="158"/>
              <w:ind w:left="419"/>
              <w:rPr>
                <w:b/>
                <w:sz w:val="24"/>
              </w:rPr>
            </w:pPr>
            <w:r>
              <w:rPr>
                <w:b/>
                <w:sz w:val="24"/>
              </w:rPr>
              <w:t>诊断内容</w:t>
            </w:r>
          </w:p>
        </w:tc>
        <w:tc>
          <w:tcPr>
            <w:tcW w:w="4524" w:type="dxa"/>
          </w:tcPr>
          <w:p>
            <w:pPr>
              <w:pStyle w:val="9"/>
              <w:spacing w:before="158"/>
              <w:ind w:left="1517" w:right="1511"/>
              <w:jc w:val="center"/>
              <w:rPr>
                <w:b/>
                <w:sz w:val="24"/>
              </w:rPr>
            </w:pPr>
            <w:r>
              <w:rPr>
                <w:b/>
                <w:sz w:val="24"/>
              </w:rPr>
              <w:t>诊断内容提示</w:t>
            </w:r>
          </w:p>
        </w:tc>
        <w:tc>
          <w:tcPr>
            <w:tcW w:w="3816" w:type="dxa"/>
          </w:tcPr>
          <w:p>
            <w:pPr>
              <w:pStyle w:val="9"/>
              <w:spacing w:before="158"/>
              <w:ind w:left="1406" w:right="1395"/>
              <w:jc w:val="center"/>
              <w:rPr>
                <w:b/>
                <w:sz w:val="24"/>
              </w:rPr>
            </w:pPr>
            <w:r>
              <w:rPr>
                <w:b/>
                <w:sz w:val="24"/>
              </w:rPr>
              <w:t>诊断结论</w:t>
            </w:r>
          </w:p>
        </w:tc>
        <w:tc>
          <w:tcPr>
            <w:tcW w:w="3670" w:type="dxa"/>
          </w:tcPr>
          <w:p>
            <w:pPr>
              <w:pStyle w:val="9"/>
              <w:spacing w:before="158"/>
              <w:ind w:left="870"/>
              <w:rPr>
                <w:b/>
                <w:sz w:val="24"/>
              </w:rPr>
            </w:pPr>
            <w:r>
              <w:rPr>
                <w:b/>
                <w:sz w:val="24"/>
              </w:rPr>
              <w:t>拟采取的改进措施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1805" w:type="dxa"/>
            <w:tcBorders>
              <w:bottom w:val="nil"/>
            </w:tcBorders>
          </w:tcPr>
          <w:p>
            <w:pPr>
              <w:pStyle w:val="9"/>
              <w:rPr>
                <w:rFonts w:ascii="Times New Roman"/>
                <w:sz w:val="24"/>
              </w:rPr>
            </w:pPr>
          </w:p>
        </w:tc>
        <w:tc>
          <w:tcPr>
            <w:tcW w:w="4524" w:type="dxa"/>
            <w:tcBorders>
              <w:bottom w:val="nil"/>
            </w:tcBorders>
          </w:tcPr>
          <w:p>
            <w:pPr>
              <w:pStyle w:val="9"/>
              <w:spacing w:before="48"/>
              <w:ind w:left="107"/>
              <w:rPr>
                <w:sz w:val="24"/>
              </w:rPr>
            </w:pPr>
            <w:r>
              <w:rPr>
                <w:sz w:val="24"/>
              </w:rPr>
              <w:t>1.学校发展规划是否成体系，学校发展目</w:t>
            </w:r>
          </w:p>
        </w:tc>
        <w:tc>
          <w:tcPr>
            <w:tcW w:w="3816" w:type="dxa"/>
            <w:vMerge w:val="restart"/>
          </w:tcPr>
          <w:p>
            <w:pPr>
              <w:pStyle w:val="9"/>
              <w:rPr>
                <w:rFonts w:ascii="Times New Roman"/>
                <w:sz w:val="24"/>
              </w:rPr>
            </w:pPr>
          </w:p>
        </w:tc>
        <w:tc>
          <w:tcPr>
            <w:tcW w:w="3670" w:type="dxa"/>
            <w:vMerge w:val="restart"/>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1805" w:type="dxa"/>
            <w:tcBorders>
              <w:top w:val="nil"/>
              <w:bottom w:val="nil"/>
            </w:tcBorders>
          </w:tcPr>
          <w:p>
            <w:pPr>
              <w:pStyle w:val="9"/>
              <w:rPr>
                <w:rFonts w:ascii="Times New Roman"/>
                <w:sz w:val="24"/>
              </w:rPr>
            </w:pPr>
          </w:p>
        </w:tc>
        <w:tc>
          <w:tcPr>
            <w:tcW w:w="4524" w:type="dxa"/>
            <w:tcBorders>
              <w:top w:val="nil"/>
              <w:bottom w:val="nil"/>
            </w:tcBorders>
          </w:tcPr>
          <w:p>
            <w:pPr>
              <w:pStyle w:val="9"/>
              <w:spacing w:before="21"/>
              <w:ind w:left="107"/>
              <w:rPr>
                <w:sz w:val="24"/>
              </w:rPr>
            </w:pPr>
            <w:r>
              <w:rPr>
                <w:sz w:val="24"/>
              </w:rPr>
              <w:t>标是否传递至专业、课程、教师层面，目</w:t>
            </w:r>
          </w:p>
        </w:tc>
        <w:tc>
          <w:tcPr>
            <w:tcW w:w="3816" w:type="dxa"/>
            <w:vMerge w:val="continue"/>
            <w:tcBorders>
              <w:top w:val="nil"/>
            </w:tcBorders>
          </w:tcPr>
          <w:p>
            <w:pPr>
              <w:rPr>
                <w:sz w:val="2"/>
                <w:szCs w:val="2"/>
              </w:rPr>
            </w:pPr>
          </w:p>
        </w:tc>
        <w:tc>
          <w:tcPr>
            <w:tcW w:w="3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1805" w:type="dxa"/>
            <w:tcBorders>
              <w:top w:val="nil"/>
              <w:bottom w:val="nil"/>
            </w:tcBorders>
          </w:tcPr>
          <w:p>
            <w:pPr>
              <w:pStyle w:val="9"/>
              <w:rPr>
                <w:rFonts w:ascii="Times New Roman"/>
                <w:sz w:val="24"/>
              </w:rPr>
            </w:pPr>
          </w:p>
        </w:tc>
        <w:tc>
          <w:tcPr>
            <w:tcW w:w="4524" w:type="dxa"/>
            <w:tcBorders>
              <w:top w:val="nil"/>
              <w:bottom w:val="nil"/>
            </w:tcBorders>
          </w:tcPr>
          <w:p>
            <w:pPr>
              <w:pStyle w:val="9"/>
              <w:spacing w:before="21"/>
              <w:ind w:left="107"/>
              <w:rPr>
                <w:sz w:val="24"/>
              </w:rPr>
            </w:pPr>
            <w:r>
              <w:rPr>
                <w:sz w:val="24"/>
              </w:rPr>
              <w:t>标是否上下衔接成链。学校机构职责是否</w:t>
            </w:r>
          </w:p>
        </w:tc>
        <w:tc>
          <w:tcPr>
            <w:tcW w:w="3816" w:type="dxa"/>
            <w:vMerge w:val="continue"/>
            <w:tcBorders>
              <w:top w:val="nil"/>
            </w:tcBorders>
          </w:tcPr>
          <w:p>
            <w:pPr>
              <w:rPr>
                <w:sz w:val="2"/>
                <w:szCs w:val="2"/>
              </w:rPr>
            </w:pPr>
          </w:p>
        </w:tc>
        <w:tc>
          <w:tcPr>
            <w:tcW w:w="3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1805" w:type="dxa"/>
            <w:tcBorders>
              <w:top w:val="nil"/>
              <w:bottom w:val="nil"/>
            </w:tcBorders>
          </w:tcPr>
          <w:p>
            <w:pPr>
              <w:pStyle w:val="9"/>
              <w:spacing w:before="21"/>
              <w:ind w:left="107"/>
              <w:rPr>
                <w:sz w:val="24"/>
              </w:rPr>
            </w:pPr>
            <w:r>
              <w:rPr>
                <w:sz w:val="24"/>
              </w:rPr>
              <w:t>两链打造与实</w:t>
            </w:r>
          </w:p>
        </w:tc>
        <w:tc>
          <w:tcPr>
            <w:tcW w:w="4524" w:type="dxa"/>
            <w:tcBorders>
              <w:top w:val="nil"/>
              <w:bottom w:val="nil"/>
            </w:tcBorders>
          </w:tcPr>
          <w:p>
            <w:pPr>
              <w:pStyle w:val="9"/>
              <w:spacing w:before="21"/>
              <w:ind w:left="107"/>
              <w:rPr>
                <w:sz w:val="24"/>
              </w:rPr>
            </w:pPr>
            <w:r>
              <w:rPr>
                <w:sz w:val="24"/>
              </w:rPr>
              <w:t>明确，是否建立岗位工作标准，标准和制</w:t>
            </w:r>
          </w:p>
        </w:tc>
        <w:tc>
          <w:tcPr>
            <w:tcW w:w="3816" w:type="dxa"/>
            <w:vMerge w:val="continue"/>
            <w:tcBorders>
              <w:top w:val="nil"/>
            </w:tcBorders>
          </w:tcPr>
          <w:p>
            <w:pPr>
              <w:rPr>
                <w:sz w:val="2"/>
                <w:szCs w:val="2"/>
              </w:rPr>
            </w:pPr>
          </w:p>
        </w:tc>
        <w:tc>
          <w:tcPr>
            <w:tcW w:w="3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1805" w:type="dxa"/>
            <w:tcBorders>
              <w:top w:val="nil"/>
              <w:bottom w:val="nil"/>
            </w:tcBorders>
          </w:tcPr>
          <w:p>
            <w:pPr>
              <w:pStyle w:val="9"/>
              <w:spacing w:before="21"/>
              <w:ind w:left="107"/>
              <w:rPr>
                <w:sz w:val="24"/>
              </w:rPr>
            </w:pPr>
            <w:r>
              <w:rPr>
                <w:sz w:val="24"/>
              </w:rPr>
              <w:t>施</w:t>
            </w:r>
          </w:p>
        </w:tc>
        <w:tc>
          <w:tcPr>
            <w:tcW w:w="4524" w:type="dxa"/>
            <w:tcBorders>
              <w:top w:val="nil"/>
              <w:bottom w:val="nil"/>
            </w:tcBorders>
          </w:tcPr>
          <w:p>
            <w:pPr>
              <w:pStyle w:val="9"/>
              <w:spacing w:before="21"/>
              <w:ind w:left="107"/>
              <w:rPr>
                <w:sz w:val="24"/>
              </w:rPr>
            </w:pPr>
            <w:r>
              <w:rPr>
                <w:sz w:val="24"/>
              </w:rPr>
              <w:t>度执行是否有有效机制。</w:t>
            </w:r>
          </w:p>
        </w:tc>
        <w:tc>
          <w:tcPr>
            <w:tcW w:w="3816" w:type="dxa"/>
            <w:vMerge w:val="continue"/>
            <w:tcBorders>
              <w:top w:val="nil"/>
            </w:tcBorders>
          </w:tcPr>
          <w:p>
            <w:pPr>
              <w:rPr>
                <w:sz w:val="2"/>
                <w:szCs w:val="2"/>
              </w:rPr>
            </w:pPr>
          </w:p>
        </w:tc>
        <w:tc>
          <w:tcPr>
            <w:tcW w:w="3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1805" w:type="dxa"/>
            <w:tcBorders>
              <w:top w:val="nil"/>
              <w:bottom w:val="nil"/>
            </w:tcBorders>
          </w:tcPr>
          <w:p>
            <w:pPr>
              <w:pStyle w:val="9"/>
              <w:rPr>
                <w:rFonts w:ascii="Times New Roman"/>
                <w:sz w:val="24"/>
              </w:rPr>
            </w:pPr>
          </w:p>
        </w:tc>
        <w:tc>
          <w:tcPr>
            <w:tcW w:w="4524" w:type="dxa"/>
            <w:tcBorders>
              <w:top w:val="nil"/>
              <w:bottom w:val="nil"/>
            </w:tcBorders>
          </w:tcPr>
          <w:p>
            <w:pPr>
              <w:pStyle w:val="9"/>
              <w:spacing w:before="21"/>
              <w:ind w:left="107"/>
              <w:rPr>
                <w:sz w:val="24"/>
              </w:rPr>
            </w:pPr>
            <w:r>
              <w:rPr>
                <w:sz w:val="24"/>
              </w:rPr>
              <w:t>2.专业建设规划目标、标准是否与学校规</w:t>
            </w:r>
          </w:p>
        </w:tc>
        <w:tc>
          <w:tcPr>
            <w:tcW w:w="3816" w:type="dxa"/>
            <w:vMerge w:val="continue"/>
            <w:tcBorders>
              <w:top w:val="nil"/>
            </w:tcBorders>
          </w:tcPr>
          <w:p>
            <w:pPr>
              <w:rPr>
                <w:sz w:val="2"/>
                <w:szCs w:val="2"/>
              </w:rPr>
            </w:pPr>
          </w:p>
        </w:tc>
        <w:tc>
          <w:tcPr>
            <w:tcW w:w="3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1805" w:type="dxa"/>
            <w:tcBorders>
              <w:top w:val="nil"/>
              <w:bottom w:val="nil"/>
            </w:tcBorders>
          </w:tcPr>
          <w:p>
            <w:pPr>
              <w:pStyle w:val="9"/>
              <w:rPr>
                <w:rFonts w:ascii="Times New Roman"/>
                <w:sz w:val="24"/>
              </w:rPr>
            </w:pPr>
          </w:p>
        </w:tc>
        <w:tc>
          <w:tcPr>
            <w:tcW w:w="4524" w:type="dxa"/>
            <w:tcBorders>
              <w:top w:val="nil"/>
              <w:bottom w:val="nil"/>
            </w:tcBorders>
          </w:tcPr>
          <w:p>
            <w:pPr>
              <w:pStyle w:val="9"/>
              <w:spacing w:before="21"/>
              <w:ind w:left="107"/>
              <w:rPr>
                <w:sz w:val="24"/>
              </w:rPr>
            </w:pPr>
            <w:r>
              <w:rPr>
                <w:sz w:val="24"/>
              </w:rPr>
              <w:t>划契合，是否与自身基础适切。目标与标</w:t>
            </w:r>
          </w:p>
        </w:tc>
        <w:tc>
          <w:tcPr>
            <w:tcW w:w="3816" w:type="dxa"/>
            <w:vMerge w:val="continue"/>
            <w:tcBorders>
              <w:top w:val="nil"/>
            </w:tcBorders>
          </w:tcPr>
          <w:p>
            <w:pPr>
              <w:rPr>
                <w:sz w:val="2"/>
                <w:szCs w:val="2"/>
              </w:rPr>
            </w:pPr>
          </w:p>
        </w:tc>
        <w:tc>
          <w:tcPr>
            <w:tcW w:w="3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1805" w:type="dxa"/>
            <w:tcBorders>
              <w:top w:val="nil"/>
            </w:tcBorders>
          </w:tcPr>
          <w:p>
            <w:pPr>
              <w:pStyle w:val="9"/>
              <w:rPr>
                <w:rFonts w:ascii="Times New Roman"/>
                <w:sz w:val="24"/>
              </w:rPr>
            </w:pPr>
          </w:p>
        </w:tc>
        <w:tc>
          <w:tcPr>
            <w:tcW w:w="4524" w:type="dxa"/>
            <w:tcBorders>
              <w:top w:val="nil"/>
            </w:tcBorders>
          </w:tcPr>
          <w:p>
            <w:pPr>
              <w:pStyle w:val="9"/>
              <w:spacing w:before="21" w:line="294" w:lineRule="exact"/>
              <w:ind w:left="107"/>
              <w:rPr>
                <w:sz w:val="24"/>
              </w:rPr>
            </w:pPr>
            <w:r>
              <w:rPr>
                <w:sz w:val="24"/>
              </w:rPr>
              <w:t>准是否明确、具体、可检测。</w:t>
            </w:r>
          </w:p>
        </w:tc>
        <w:tc>
          <w:tcPr>
            <w:tcW w:w="3816" w:type="dxa"/>
            <w:vMerge w:val="continue"/>
            <w:tcBorders>
              <w:top w:val="nil"/>
            </w:tcBorders>
          </w:tcPr>
          <w:p>
            <w:pPr>
              <w:rPr>
                <w:sz w:val="2"/>
                <w:szCs w:val="2"/>
              </w:rPr>
            </w:pPr>
          </w:p>
        </w:tc>
        <w:tc>
          <w:tcPr>
            <w:tcW w:w="3670" w:type="dxa"/>
            <w:vMerge w:val="continue"/>
            <w:tcBorders>
              <w:top w:val="nil"/>
            </w:tcBorders>
          </w:tcPr>
          <w:p>
            <w:pPr>
              <w:rPr>
                <w:sz w:val="2"/>
                <w:szCs w:val="2"/>
              </w:rPr>
            </w:pPr>
          </w:p>
        </w:tc>
      </w:tr>
    </w:tbl>
    <w:p>
      <w:pPr>
        <w:spacing w:after="0"/>
        <w:rPr>
          <w:sz w:val="2"/>
          <w:szCs w:val="2"/>
        </w:rPr>
        <w:sectPr>
          <w:footerReference r:id="rId5" w:type="default"/>
          <w:pgSz w:w="16840" w:h="11910" w:orient="landscape"/>
          <w:pgMar w:top="1100" w:right="1160" w:bottom="280" w:left="1320" w:header="0" w:footer="0" w:gutter="0"/>
        </w:sectPr>
      </w:pPr>
    </w:p>
    <w:p>
      <w:pPr>
        <w:pStyle w:val="4"/>
        <w:rPr>
          <w:rFonts w:ascii="Times New Roman"/>
          <w:sz w:val="20"/>
        </w:rPr>
      </w:pPr>
    </w:p>
    <w:p>
      <w:pPr>
        <w:pStyle w:val="4"/>
        <w:rPr>
          <w:rFonts w:ascii="Times New Roman"/>
          <w:sz w:val="20"/>
        </w:rPr>
      </w:pPr>
    </w:p>
    <w:p>
      <w:pPr>
        <w:pStyle w:val="4"/>
        <w:spacing w:before="1"/>
        <w:rPr>
          <w:rFonts w:ascii="Times New Roman"/>
          <w:sz w:val="20"/>
        </w:rPr>
      </w:pPr>
    </w:p>
    <w:tbl>
      <w:tblPr>
        <w:tblStyle w:val="6"/>
        <w:tblW w:w="13815"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6"/>
        <w:gridCol w:w="869"/>
        <w:gridCol w:w="4524"/>
        <w:gridCol w:w="3816"/>
        <w:gridCol w:w="3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9" w:hRule="atLeast"/>
        </w:trPr>
        <w:tc>
          <w:tcPr>
            <w:tcW w:w="1805" w:type="dxa"/>
            <w:gridSpan w:val="2"/>
          </w:tcPr>
          <w:p>
            <w:pPr>
              <w:pStyle w:val="9"/>
              <w:rPr>
                <w:rFonts w:ascii="Times New Roman"/>
                <w:sz w:val="24"/>
              </w:rPr>
            </w:pPr>
          </w:p>
        </w:tc>
        <w:tc>
          <w:tcPr>
            <w:tcW w:w="4524" w:type="dxa"/>
          </w:tcPr>
          <w:p>
            <w:pPr>
              <w:pStyle w:val="9"/>
              <w:numPr>
                <w:ilvl w:val="0"/>
                <w:numId w:val="10"/>
              </w:numPr>
              <w:tabs>
                <w:tab w:val="left" w:pos="349"/>
              </w:tabs>
              <w:spacing w:before="48" w:after="0" w:line="280" w:lineRule="auto"/>
              <w:ind w:left="107" w:right="95" w:firstLine="0"/>
              <w:jc w:val="both"/>
              <w:rPr>
                <w:sz w:val="24"/>
              </w:rPr>
            </w:pPr>
            <w:r>
              <w:rPr>
                <w:spacing w:val="-3"/>
                <w:sz w:val="24"/>
              </w:rPr>
              <w:t>课程建设规划目标、标准是否与专业建设规划契合，是否与自身基础适切。目标</w:t>
            </w:r>
            <w:r>
              <w:rPr>
                <w:sz w:val="24"/>
              </w:rPr>
              <w:t>与标准是否明确、具体、可检测。</w:t>
            </w:r>
          </w:p>
          <w:p>
            <w:pPr>
              <w:pStyle w:val="9"/>
              <w:numPr>
                <w:ilvl w:val="0"/>
                <w:numId w:val="10"/>
              </w:numPr>
              <w:tabs>
                <w:tab w:val="left" w:pos="349"/>
              </w:tabs>
              <w:spacing w:before="0" w:after="0" w:line="280" w:lineRule="auto"/>
              <w:ind w:left="107" w:right="95" w:firstLine="0"/>
              <w:jc w:val="left"/>
              <w:rPr>
                <w:sz w:val="24"/>
              </w:rPr>
            </w:pPr>
            <w:r>
              <w:rPr>
                <w:sz w:val="24"/>
              </w:rPr>
              <w:t>教师个人发展目标确定是否与学校师资队伍建设规划及专业建设规划等相关</w:t>
            </w:r>
            <w:r>
              <w:rPr>
                <w:spacing w:val="-3"/>
                <w:sz w:val="24"/>
              </w:rPr>
              <w:t>要求相适切，与自身基础适切。教师是否</w:t>
            </w:r>
            <w:r>
              <w:rPr>
                <w:sz w:val="24"/>
              </w:rPr>
              <w:t>制定有个人发展计划及与之相应的目标</w:t>
            </w:r>
            <w:r>
              <w:rPr>
                <w:spacing w:val="-5"/>
                <w:sz w:val="24"/>
              </w:rPr>
              <w:t>与标准。目标与标准是否明确、具体、可</w:t>
            </w:r>
            <w:r>
              <w:rPr>
                <w:sz w:val="24"/>
              </w:rPr>
              <w:t>检测。</w:t>
            </w:r>
          </w:p>
          <w:p>
            <w:pPr>
              <w:pStyle w:val="9"/>
              <w:numPr>
                <w:ilvl w:val="0"/>
                <w:numId w:val="10"/>
              </w:numPr>
              <w:tabs>
                <w:tab w:val="left" w:pos="349"/>
              </w:tabs>
              <w:spacing w:before="2" w:after="0" w:line="280" w:lineRule="auto"/>
              <w:ind w:left="107" w:right="96" w:firstLine="0"/>
              <w:jc w:val="left"/>
              <w:rPr>
                <w:sz w:val="24"/>
              </w:rPr>
            </w:pPr>
            <w:r>
              <w:rPr>
                <w:spacing w:val="-2"/>
                <w:sz w:val="24"/>
              </w:rPr>
              <w:t>学生是否制定有个人发展计划，个人发</w:t>
            </w:r>
            <w:r>
              <w:rPr>
                <w:sz w:val="24"/>
              </w:rPr>
              <w:t>展目标确定是否与学校人才培养方案及</w:t>
            </w:r>
            <w:r>
              <w:rPr>
                <w:spacing w:val="-2"/>
                <w:sz w:val="24"/>
              </w:rPr>
              <w:t>素质教育相关要求相适切。学校是否建立</w:t>
            </w:r>
          </w:p>
          <w:p>
            <w:pPr>
              <w:pStyle w:val="9"/>
              <w:spacing w:line="292" w:lineRule="exact"/>
              <w:ind w:left="107"/>
              <w:rPr>
                <w:sz w:val="24"/>
              </w:rPr>
            </w:pPr>
            <w:r>
              <w:rPr>
                <w:sz w:val="24"/>
              </w:rPr>
              <w:t>指导学生制定个人发展计划的制度。</w:t>
            </w:r>
          </w:p>
        </w:tc>
        <w:tc>
          <w:tcPr>
            <w:tcW w:w="3816" w:type="dxa"/>
          </w:tcPr>
          <w:p>
            <w:pPr>
              <w:pStyle w:val="9"/>
              <w:rPr>
                <w:rFonts w:ascii="Times New Roman"/>
                <w:sz w:val="24"/>
              </w:rPr>
            </w:pPr>
          </w:p>
        </w:tc>
        <w:tc>
          <w:tcPr>
            <w:tcW w:w="3670"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9" w:hRule="atLeast"/>
        </w:trPr>
        <w:tc>
          <w:tcPr>
            <w:tcW w:w="936" w:type="dxa"/>
          </w:tcPr>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spacing w:before="204" w:line="280" w:lineRule="auto"/>
              <w:ind w:left="107" w:right="96"/>
              <w:jc w:val="both"/>
              <w:rPr>
                <w:sz w:val="24"/>
              </w:rPr>
            </w:pPr>
            <w:r>
              <w:rPr>
                <w:sz w:val="24"/>
              </w:rPr>
              <w:t>螺旋建立与运行</w:t>
            </w:r>
          </w:p>
        </w:tc>
        <w:tc>
          <w:tcPr>
            <w:tcW w:w="869" w:type="dxa"/>
          </w:tcPr>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spacing w:before="4"/>
              <w:rPr>
                <w:rFonts w:ascii="Times New Roman"/>
                <w:sz w:val="33"/>
              </w:rPr>
            </w:pPr>
          </w:p>
          <w:p>
            <w:pPr>
              <w:pStyle w:val="9"/>
              <w:spacing w:line="280" w:lineRule="auto"/>
              <w:ind w:left="107" w:right="269"/>
              <w:rPr>
                <w:sz w:val="24"/>
              </w:rPr>
            </w:pPr>
            <w:r>
              <w:rPr>
                <w:sz w:val="24"/>
              </w:rPr>
              <w:t>学校层面</w:t>
            </w:r>
          </w:p>
        </w:tc>
        <w:tc>
          <w:tcPr>
            <w:tcW w:w="4524" w:type="dxa"/>
          </w:tcPr>
          <w:p>
            <w:pPr>
              <w:pStyle w:val="9"/>
              <w:numPr>
                <w:ilvl w:val="0"/>
                <w:numId w:val="11"/>
              </w:numPr>
              <w:tabs>
                <w:tab w:val="left" w:pos="349"/>
              </w:tabs>
              <w:spacing w:before="48" w:after="0" w:line="280" w:lineRule="auto"/>
              <w:ind w:left="107" w:right="95" w:firstLine="0"/>
              <w:jc w:val="left"/>
              <w:rPr>
                <w:sz w:val="24"/>
              </w:rPr>
            </w:pPr>
            <w:r>
              <w:rPr>
                <w:sz w:val="24"/>
              </w:rPr>
              <w:t>学校是否建有规划和年度目标任务分</w:t>
            </w:r>
            <w:r>
              <w:rPr>
                <w:spacing w:val="-4"/>
                <w:sz w:val="24"/>
              </w:rPr>
              <w:t>解、实施、诊断、改进的运行机制。实施</w:t>
            </w:r>
            <w:r>
              <w:rPr>
                <w:spacing w:val="-2"/>
                <w:sz w:val="24"/>
              </w:rPr>
              <w:t>过程是否有监测预警和改进机制，方法与</w:t>
            </w:r>
            <w:r>
              <w:rPr>
                <w:sz w:val="24"/>
              </w:rPr>
              <w:t>手段是否便捷可操作。</w:t>
            </w:r>
          </w:p>
          <w:p>
            <w:pPr>
              <w:pStyle w:val="9"/>
              <w:numPr>
                <w:ilvl w:val="0"/>
                <w:numId w:val="11"/>
              </w:numPr>
              <w:tabs>
                <w:tab w:val="left" w:pos="349"/>
              </w:tabs>
              <w:spacing w:before="0" w:after="0" w:line="280" w:lineRule="auto"/>
              <w:ind w:left="107" w:right="95" w:firstLine="0"/>
              <w:jc w:val="left"/>
              <w:rPr>
                <w:sz w:val="24"/>
              </w:rPr>
            </w:pPr>
            <w:r>
              <w:rPr>
                <w:sz w:val="24"/>
              </w:rPr>
              <w:t>是否建立学校各组织机构履行职责的</w:t>
            </w:r>
            <w:r>
              <w:rPr>
                <w:spacing w:val="-3"/>
                <w:sz w:val="24"/>
              </w:rPr>
              <w:t>诊改制度，方法与手段是否可操作，是否</w:t>
            </w:r>
            <w:r>
              <w:rPr>
                <w:sz w:val="24"/>
              </w:rPr>
              <w:t>有效运行。</w:t>
            </w:r>
          </w:p>
          <w:p>
            <w:pPr>
              <w:pStyle w:val="9"/>
              <w:numPr>
                <w:ilvl w:val="0"/>
                <w:numId w:val="11"/>
              </w:numPr>
              <w:tabs>
                <w:tab w:val="left" w:pos="349"/>
              </w:tabs>
              <w:spacing w:before="1" w:after="0" w:line="280" w:lineRule="auto"/>
              <w:ind w:left="107" w:right="96" w:firstLine="0"/>
              <w:jc w:val="left"/>
              <w:rPr>
                <w:sz w:val="24"/>
              </w:rPr>
            </w:pPr>
            <w:r>
              <w:rPr>
                <w:spacing w:val="-2"/>
                <w:sz w:val="24"/>
              </w:rPr>
              <w:t>诊断结论是否依据数据和事实获得，自我诊断报告的陈述是否明确具体，改进措</w:t>
            </w:r>
          </w:p>
          <w:p>
            <w:pPr>
              <w:pStyle w:val="9"/>
              <w:spacing w:before="1" w:line="292" w:lineRule="exact"/>
              <w:ind w:left="107"/>
              <w:rPr>
                <w:sz w:val="24"/>
              </w:rPr>
            </w:pPr>
            <w:r>
              <w:rPr>
                <w:sz w:val="24"/>
              </w:rPr>
              <w:t>施是否有效。</w:t>
            </w:r>
          </w:p>
        </w:tc>
        <w:tc>
          <w:tcPr>
            <w:tcW w:w="3816" w:type="dxa"/>
          </w:tcPr>
          <w:p>
            <w:pPr>
              <w:pStyle w:val="9"/>
              <w:rPr>
                <w:rFonts w:ascii="Times New Roman"/>
                <w:sz w:val="24"/>
              </w:rPr>
            </w:pPr>
          </w:p>
        </w:tc>
        <w:tc>
          <w:tcPr>
            <w:tcW w:w="3670" w:type="dxa"/>
          </w:tcPr>
          <w:p>
            <w:pPr>
              <w:pStyle w:val="9"/>
              <w:rPr>
                <w:rFonts w:ascii="Times New Roman"/>
                <w:sz w:val="24"/>
              </w:rPr>
            </w:pPr>
          </w:p>
        </w:tc>
      </w:tr>
    </w:tbl>
    <w:p>
      <w:pPr>
        <w:spacing w:after="0"/>
        <w:rPr>
          <w:rFonts w:ascii="Times New Roman"/>
          <w:sz w:val="24"/>
        </w:rPr>
        <w:sectPr>
          <w:footerReference r:id="rId6" w:type="default"/>
          <w:footerReference r:id="rId7" w:type="even"/>
          <w:pgSz w:w="16840" w:h="11910" w:orient="landscape"/>
          <w:pgMar w:top="1100" w:right="1160" w:bottom="1540" w:left="1320" w:header="0" w:footer="1346" w:gutter="0"/>
          <w:pgNumType w:start="12"/>
        </w:sectPr>
      </w:pPr>
    </w:p>
    <w:p>
      <w:pPr>
        <w:pStyle w:val="4"/>
        <w:rPr>
          <w:rFonts w:ascii="Times New Roman"/>
          <w:sz w:val="20"/>
        </w:rPr>
      </w:pPr>
    </w:p>
    <w:p>
      <w:pPr>
        <w:pStyle w:val="4"/>
        <w:rPr>
          <w:rFonts w:ascii="Times New Roman"/>
          <w:sz w:val="20"/>
        </w:rPr>
      </w:pPr>
    </w:p>
    <w:p>
      <w:pPr>
        <w:pStyle w:val="4"/>
        <w:spacing w:before="1"/>
        <w:rPr>
          <w:rFonts w:ascii="Times New Roman"/>
          <w:sz w:val="20"/>
        </w:rPr>
      </w:pPr>
    </w:p>
    <w:tbl>
      <w:tblPr>
        <w:tblStyle w:val="6"/>
        <w:tblW w:w="13815"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6"/>
        <w:gridCol w:w="869"/>
        <w:gridCol w:w="4524"/>
        <w:gridCol w:w="3816"/>
        <w:gridCol w:w="3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9" w:hRule="atLeast"/>
        </w:trPr>
        <w:tc>
          <w:tcPr>
            <w:tcW w:w="936" w:type="dxa"/>
            <w:vMerge w:val="restart"/>
          </w:tcPr>
          <w:p>
            <w:pPr>
              <w:pStyle w:val="9"/>
              <w:rPr>
                <w:rFonts w:ascii="Times New Roman"/>
                <w:sz w:val="24"/>
              </w:rPr>
            </w:pPr>
          </w:p>
        </w:tc>
        <w:tc>
          <w:tcPr>
            <w:tcW w:w="869" w:type="dxa"/>
          </w:tcPr>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6"/>
              </w:rPr>
            </w:pPr>
          </w:p>
          <w:p>
            <w:pPr>
              <w:pStyle w:val="9"/>
              <w:spacing w:before="1" w:line="280" w:lineRule="auto"/>
              <w:ind w:left="107" w:right="269"/>
              <w:rPr>
                <w:sz w:val="24"/>
              </w:rPr>
            </w:pPr>
            <w:r>
              <w:rPr>
                <w:sz w:val="24"/>
              </w:rPr>
              <w:t>专业层面</w:t>
            </w:r>
          </w:p>
        </w:tc>
        <w:tc>
          <w:tcPr>
            <w:tcW w:w="4524" w:type="dxa"/>
          </w:tcPr>
          <w:p>
            <w:pPr>
              <w:pStyle w:val="9"/>
              <w:numPr>
                <w:ilvl w:val="0"/>
                <w:numId w:val="12"/>
              </w:numPr>
              <w:tabs>
                <w:tab w:val="left" w:pos="349"/>
              </w:tabs>
              <w:spacing w:before="48" w:after="0" w:line="280" w:lineRule="auto"/>
              <w:ind w:left="107" w:right="95" w:firstLine="0"/>
              <w:jc w:val="left"/>
              <w:rPr>
                <w:sz w:val="24"/>
              </w:rPr>
            </w:pPr>
            <w:r>
              <w:rPr>
                <w:sz w:val="24"/>
              </w:rPr>
              <w:t>学校是否建立专业建设质量诊改运行</w:t>
            </w:r>
            <w:r>
              <w:rPr>
                <w:spacing w:val="-4"/>
                <w:sz w:val="24"/>
              </w:rPr>
              <w:t>制度，诊改内容是否有助于目标达成，诊</w:t>
            </w:r>
            <w:r>
              <w:rPr>
                <w:spacing w:val="-3"/>
                <w:sz w:val="24"/>
              </w:rPr>
              <w:t>改周期是否合理，诊改方法与手段是否便</w:t>
            </w:r>
            <w:r>
              <w:rPr>
                <w:sz w:val="24"/>
              </w:rPr>
              <w:t>捷可操作。</w:t>
            </w:r>
          </w:p>
          <w:p>
            <w:pPr>
              <w:pStyle w:val="9"/>
              <w:numPr>
                <w:ilvl w:val="0"/>
                <w:numId w:val="12"/>
              </w:numPr>
              <w:tabs>
                <w:tab w:val="left" w:pos="349"/>
              </w:tabs>
              <w:spacing w:before="0" w:after="0" w:line="240" w:lineRule="auto"/>
              <w:ind w:left="348" w:right="0" w:hanging="242"/>
              <w:jc w:val="left"/>
              <w:rPr>
                <w:sz w:val="24"/>
              </w:rPr>
            </w:pPr>
            <w:r>
              <w:rPr>
                <w:sz w:val="24"/>
              </w:rPr>
              <w:t>现有专业是否都按运行制度实施诊改。</w:t>
            </w:r>
          </w:p>
          <w:p>
            <w:pPr>
              <w:pStyle w:val="9"/>
              <w:numPr>
                <w:ilvl w:val="0"/>
                <w:numId w:val="12"/>
              </w:numPr>
              <w:tabs>
                <w:tab w:val="left" w:pos="469"/>
              </w:tabs>
              <w:spacing w:before="0" w:after="0" w:line="360" w:lineRule="atLeast"/>
              <w:ind w:left="107" w:right="96" w:firstLine="0"/>
              <w:jc w:val="left"/>
              <w:rPr>
                <w:sz w:val="24"/>
              </w:rPr>
            </w:pPr>
            <w:r>
              <w:rPr>
                <w:sz w:val="24"/>
              </w:rPr>
              <w:t xml:space="preserve">诊断结论是否依据数据和事实获得， </w:t>
            </w:r>
            <w:r>
              <w:rPr>
                <w:spacing w:val="-2"/>
                <w:sz w:val="24"/>
              </w:rPr>
              <w:t>自我诊断报告的陈述是否明确具体，改进</w:t>
            </w:r>
            <w:r>
              <w:rPr>
                <w:sz w:val="24"/>
              </w:rPr>
              <w:t>措施是否有效。</w:t>
            </w:r>
          </w:p>
        </w:tc>
        <w:tc>
          <w:tcPr>
            <w:tcW w:w="3816" w:type="dxa"/>
          </w:tcPr>
          <w:p>
            <w:pPr>
              <w:pStyle w:val="9"/>
              <w:rPr>
                <w:rFonts w:ascii="Times New Roman"/>
                <w:sz w:val="24"/>
              </w:rPr>
            </w:pPr>
          </w:p>
        </w:tc>
        <w:tc>
          <w:tcPr>
            <w:tcW w:w="3670"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9" w:hRule="atLeast"/>
        </w:trPr>
        <w:tc>
          <w:tcPr>
            <w:tcW w:w="936" w:type="dxa"/>
            <w:vMerge w:val="continue"/>
            <w:tcBorders>
              <w:top w:val="nil"/>
            </w:tcBorders>
          </w:tcPr>
          <w:p>
            <w:pPr>
              <w:rPr>
                <w:sz w:val="2"/>
                <w:szCs w:val="2"/>
              </w:rPr>
            </w:pPr>
          </w:p>
        </w:tc>
        <w:tc>
          <w:tcPr>
            <w:tcW w:w="869" w:type="dxa"/>
          </w:tcPr>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6"/>
              </w:rPr>
            </w:pPr>
          </w:p>
          <w:p>
            <w:pPr>
              <w:pStyle w:val="9"/>
              <w:spacing w:before="1" w:line="280" w:lineRule="auto"/>
              <w:ind w:left="107" w:right="269"/>
              <w:rPr>
                <w:sz w:val="24"/>
              </w:rPr>
            </w:pPr>
            <w:r>
              <w:rPr>
                <w:sz w:val="24"/>
              </w:rPr>
              <w:t>课程层面</w:t>
            </w:r>
          </w:p>
        </w:tc>
        <w:tc>
          <w:tcPr>
            <w:tcW w:w="4524" w:type="dxa"/>
          </w:tcPr>
          <w:p>
            <w:pPr>
              <w:pStyle w:val="9"/>
              <w:numPr>
                <w:ilvl w:val="0"/>
                <w:numId w:val="13"/>
              </w:numPr>
              <w:tabs>
                <w:tab w:val="left" w:pos="349"/>
              </w:tabs>
              <w:spacing w:before="48" w:after="0" w:line="280" w:lineRule="auto"/>
              <w:ind w:left="107" w:right="95" w:firstLine="0"/>
              <w:jc w:val="left"/>
              <w:rPr>
                <w:sz w:val="24"/>
              </w:rPr>
            </w:pPr>
            <w:r>
              <w:rPr>
                <w:sz w:val="24"/>
              </w:rPr>
              <w:t>学校是否建立课程建设与课程教学质</w:t>
            </w:r>
            <w:r>
              <w:rPr>
                <w:spacing w:val="-3"/>
                <w:sz w:val="24"/>
              </w:rPr>
              <w:t>量的诊改运行制度，诊改内容是否有助于目标达成，诊改周期是否合理，诊改方法</w:t>
            </w:r>
            <w:r>
              <w:rPr>
                <w:sz w:val="24"/>
              </w:rPr>
              <w:t>与手段是否便捷可操作。</w:t>
            </w:r>
          </w:p>
          <w:p>
            <w:pPr>
              <w:pStyle w:val="9"/>
              <w:numPr>
                <w:ilvl w:val="0"/>
                <w:numId w:val="13"/>
              </w:numPr>
              <w:tabs>
                <w:tab w:val="left" w:pos="349"/>
              </w:tabs>
              <w:spacing w:before="0" w:after="0" w:line="240" w:lineRule="auto"/>
              <w:ind w:left="348" w:right="0" w:hanging="242"/>
              <w:jc w:val="left"/>
              <w:rPr>
                <w:sz w:val="24"/>
              </w:rPr>
            </w:pPr>
            <w:r>
              <w:rPr>
                <w:sz w:val="24"/>
              </w:rPr>
              <w:t>现设课程是否都按运行制度实施诊改。</w:t>
            </w:r>
          </w:p>
          <w:p>
            <w:pPr>
              <w:pStyle w:val="9"/>
              <w:numPr>
                <w:ilvl w:val="0"/>
                <w:numId w:val="13"/>
              </w:numPr>
              <w:tabs>
                <w:tab w:val="left" w:pos="349"/>
              </w:tabs>
              <w:spacing w:before="0" w:after="0" w:line="360" w:lineRule="atLeast"/>
              <w:ind w:left="107" w:right="96" w:firstLine="0"/>
              <w:jc w:val="both"/>
              <w:rPr>
                <w:sz w:val="24"/>
              </w:rPr>
            </w:pPr>
            <w:r>
              <w:rPr>
                <w:spacing w:val="-2"/>
                <w:sz w:val="24"/>
              </w:rPr>
              <w:t>诊断结论是否依据数据和事实获得，自我诊断报告的陈述是否明确具体，改进措</w:t>
            </w:r>
            <w:r>
              <w:rPr>
                <w:sz w:val="24"/>
              </w:rPr>
              <w:t>施是否有效。</w:t>
            </w:r>
          </w:p>
        </w:tc>
        <w:tc>
          <w:tcPr>
            <w:tcW w:w="3816" w:type="dxa"/>
          </w:tcPr>
          <w:p>
            <w:pPr>
              <w:pStyle w:val="9"/>
              <w:rPr>
                <w:rFonts w:ascii="Times New Roman"/>
                <w:sz w:val="24"/>
              </w:rPr>
            </w:pPr>
          </w:p>
        </w:tc>
        <w:tc>
          <w:tcPr>
            <w:tcW w:w="3670"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9" w:hRule="atLeast"/>
        </w:trPr>
        <w:tc>
          <w:tcPr>
            <w:tcW w:w="936" w:type="dxa"/>
            <w:vMerge w:val="continue"/>
            <w:tcBorders>
              <w:top w:val="nil"/>
            </w:tcBorders>
          </w:tcPr>
          <w:p>
            <w:pPr>
              <w:rPr>
                <w:sz w:val="2"/>
                <w:szCs w:val="2"/>
              </w:rPr>
            </w:pPr>
          </w:p>
        </w:tc>
        <w:tc>
          <w:tcPr>
            <w:tcW w:w="869" w:type="dxa"/>
          </w:tcPr>
          <w:p>
            <w:pPr>
              <w:pStyle w:val="9"/>
              <w:rPr>
                <w:rFonts w:ascii="Times New Roman"/>
                <w:sz w:val="24"/>
              </w:rPr>
            </w:pPr>
          </w:p>
          <w:p>
            <w:pPr>
              <w:pStyle w:val="9"/>
              <w:rPr>
                <w:rFonts w:ascii="Times New Roman"/>
                <w:sz w:val="24"/>
              </w:rPr>
            </w:pPr>
          </w:p>
          <w:p>
            <w:pPr>
              <w:pStyle w:val="9"/>
              <w:spacing w:before="216" w:line="280" w:lineRule="auto"/>
              <w:ind w:left="107" w:right="269"/>
              <w:rPr>
                <w:sz w:val="24"/>
              </w:rPr>
            </w:pPr>
            <w:r>
              <w:rPr>
                <w:sz w:val="24"/>
              </w:rPr>
              <w:t>教师层面</w:t>
            </w:r>
          </w:p>
        </w:tc>
        <w:tc>
          <w:tcPr>
            <w:tcW w:w="4524" w:type="dxa"/>
          </w:tcPr>
          <w:p>
            <w:pPr>
              <w:pStyle w:val="9"/>
              <w:numPr>
                <w:ilvl w:val="0"/>
                <w:numId w:val="14"/>
              </w:numPr>
              <w:tabs>
                <w:tab w:val="left" w:pos="349"/>
              </w:tabs>
              <w:spacing w:before="47" w:after="0" w:line="280" w:lineRule="auto"/>
              <w:ind w:left="107" w:right="96" w:firstLine="0"/>
              <w:jc w:val="left"/>
              <w:rPr>
                <w:sz w:val="24"/>
              </w:rPr>
            </w:pPr>
            <w:r>
              <w:rPr>
                <w:sz w:val="24"/>
              </w:rPr>
              <w:t>学校是否建立教师个人发展自我诊改</w:t>
            </w:r>
            <w:r>
              <w:rPr>
                <w:spacing w:val="-4"/>
                <w:sz w:val="24"/>
              </w:rPr>
              <w:t>制度，周期是否合理，方法是否便捷可操</w:t>
            </w:r>
            <w:r>
              <w:rPr>
                <w:sz w:val="24"/>
              </w:rPr>
              <w:t>作。</w:t>
            </w:r>
          </w:p>
          <w:p>
            <w:pPr>
              <w:pStyle w:val="9"/>
              <w:numPr>
                <w:ilvl w:val="0"/>
                <w:numId w:val="14"/>
              </w:numPr>
              <w:tabs>
                <w:tab w:val="left" w:pos="349"/>
              </w:tabs>
              <w:spacing w:before="1" w:after="0" w:line="240" w:lineRule="auto"/>
              <w:ind w:left="348" w:right="0" w:hanging="242"/>
              <w:jc w:val="left"/>
              <w:rPr>
                <w:sz w:val="24"/>
              </w:rPr>
            </w:pPr>
            <w:r>
              <w:rPr>
                <w:sz w:val="24"/>
              </w:rPr>
              <w:t>所有教师是否都按运行制度实施诊改。</w:t>
            </w:r>
          </w:p>
          <w:p>
            <w:pPr>
              <w:pStyle w:val="9"/>
              <w:numPr>
                <w:ilvl w:val="0"/>
                <w:numId w:val="14"/>
              </w:numPr>
              <w:tabs>
                <w:tab w:val="left" w:pos="349"/>
              </w:tabs>
              <w:spacing w:before="0" w:after="0" w:line="360" w:lineRule="atLeast"/>
              <w:ind w:left="107" w:right="96" w:firstLine="0"/>
              <w:jc w:val="left"/>
              <w:rPr>
                <w:sz w:val="24"/>
              </w:rPr>
            </w:pPr>
            <w:r>
              <w:rPr>
                <w:spacing w:val="-2"/>
                <w:sz w:val="24"/>
              </w:rPr>
              <w:t>诊断结论是否依据数据和事实获得，自我诊断报告的陈述是否明确具体，改进措</w:t>
            </w:r>
          </w:p>
        </w:tc>
        <w:tc>
          <w:tcPr>
            <w:tcW w:w="3816" w:type="dxa"/>
          </w:tcPr>
          <w:p>
            <w:pPr>
              <w:pStyle w:val="9"/>
              <w:rPr>
                <w:rFonts w:ascii="Times New Roman"/>
                <w:sz w:val="24"/>
              </w:rPr>
            </w:pPr>
          </w:p>
        </w:tc>
        <w:tc>
          <w:tcPr>
            <w:tcW w:w="3670" w:type="dxa"/>
          </w:tcPr>
          <w:p>
            <w:pPr>
              <w:pStyle w:val="9"/>
              <w:rPr>
                <w:rFonts w:ascii="Times New Roman"/>
                <w:sz w:val="24"/>
              </w:rPr>
            </w:pPr>
          </w:p>
        </w:tc>
      </w:tr>
    </w:tbl>
    <w:p>
      <w:pPr>
        <w:spacing w:after="0"/>
        <w:rPr>
          <w:rFonts w:ascii="Times New Roman"/>
          <w:sz w:val="24"/>
        </w:rPr>
        <w:sectPr>
          <w:pgSz w:w="16840" w:h="11910" w:orient="landscape"/>
          <w:pgMar w:top="1100" w:right="1160" w:bottom="1860" w:left="1320" w:header="0" w:footer="1661" w:gutter="0"/>
        </w:sectPr>
      </w:pPr>
    </w:p>
    <w:p>
      <w:pPr>
        <w:pStyle w:val="4"/>
        <w:rPr>
          <w:rFonts w:ascii="Times New Roman"/>
          <w:sz w:val="20"/>
        </w:rPr>
      </w:pPr>
    </w:p>
    <w:p>
      <w:pPr>
        <w:pStyle w:val="4"/>
        <w:rPr>
          <w:rFonts w:ascii="Times New Roman"/>
          <w:sz w:val="20"/>
        </w:rPr>
      </w:pPr>
    </w:p>
    <w:p>
      <w:pPr>
        <w:pStyle w:val="4"/>
        <w:spacing w:before="1"/>
        <w:rPr>
          <w:rFonts w:ascii="Times New Roman"/>
          <w:sz w:val="20"/>
        </w:rPr>
      </w:pPr>
    </w:p>
    <w:tbl>
      <w:tblPr>
        <w:tblStyle w:val="6"/>
        <w:tblW w:w="13815"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6"/>
        <w:gridCol w:w="869"/>
        <w:gridCol w:w="4524"/>
        <w:gridCol w:w="3816"/>
        <w:gridCol w:w="3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936" w:type="dxa"/>
            <w:vMerge w:val="restart"/>
          </w:tcPr>
          <w:p>
            <w:pPr>
              <w:pStyle w:val="9"/>
              <w:rPr>
                <w:rFonts w:ascii="Times New Roman"/>
                <w:sz w:val="24"/>
              </w:rPr>
            </w:pPr>
          </w:p>
        </w:tc>
        <w:tc>
          <w:tcPr>
            <w:tcW w:w="869" w:type="dxa"/>
          </w:tcPr>
          <w:p>
            <w:pPr>
              <w:pStyle w:val="9"/>
              <w:rPr>
                <w:rFonts w:ascii="Times New Roman"/>
                <w:sz w:val="24"/>
              </w:rPr>
            </w:pPr>
          </w:p>
        </w:tc>
        <w:tc>
          <w:tcPr>
            <w:tcW w:w="4524" w:type="dxa"/>
          </w:tcPr>
          <w:p>
            <w:pPr>
              <w:pStyle w:val="9"/>
              <w:spacing w:before="48" w:line="292" w:lineRule="exact"/>
              <w:ind w:left="107"/>
              <w:rPr>
                <w:sz w:val="24"/>
              </w:rPr>
            </w:pPr>
            <w:r>
              <w:rPr>
                <w:sz w:val="24"/>
              </w:rPr>
              <w:t>施是否有效。</w:t>
            </w:r>
          </w:p>
        </w:tc>
        <w:tc>
          <w:tcPr>
            <w:tcW w:w="3816" w:type="dxa"/>
          </w:tcPr>
          <w:p>
            <w:pPr>
              <w:pStyle w:val="9"/>
              <w:rPr>
                <w:rFonts w:ascii="Times New Roman"/>
                <w:sz w:val="24"/>
              </w:rPr>
            </w:pPr>
          </w:p>
        </w:tc>
        <w:tc>
          <w:tcPr>
            <w:tcW w:w="3670"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936" w:type="dxa"/>
            <w:vMerge w:val="continue"/>
            <w:tcBorders>
              <w:top w:val="nil"/>
            </w:tcBorders>
          </w:tcPr>
          <w:p>
            <w:pPr>
              <w:rPr>
                <w:sz w:val="2"/>
                <w:szCs w:val="2"/>
              </w:rPr>
            </w:pPr>
          </w:p>
        </w:tc>
        <w:tc>
          <w:tcPr>
            <w:tcW w:w="869" w:type="dxa"/>
            <w:tcBorders>
              <w:bottom w:val="nil"/>
            </w:tcBorders>
          </w:tcPr>
          <w:p>
            <w:pPr>
              <w:pStyle w:val="9"/>
              <w:rPr>
                <w:rFonts w:ascii="Times New Roman"/>
                <w:sz w:val="24"/>
              </w:rPr>
            </w:pPr>
          </w:p>
        </w:tc>
        <w:tc>
          <w:tcPr>
            <w:tcW w:w="4524" w:type="dxa"/>
            <w:tcBorders>
              <w:bottom w:val="nil"/>
            </w:tcBorders>
          </w:tcPr>
          <w:p>
            <w:pPr>
              <w:pStyle w:val="9"/>
              <w:spacing w:before="48"/>
              <w:ind w:left="107"/>
              <w:rPr>
                <w:sz w:val="24"/>
              </w:rPr>
            </w:pPr>
            <w:r>
              <w:rPr>
                <w:sz w:val="24"/>
              </w:rPr>
              <w:t>1.学校是否建立引导学生进行自我诊改</w:t>
            </w:r>
          </w:p>
        </w:tc>
        <w:tc>
          <w:tcPr>
            <w:tcW w:w="3816" w:type="dxa"/>
            <w:vMerge w:val="restart"/>
          </w:tcPr>
          <w:p>
            <w:pPr>
              <w:pStyle w:val="9"/>
              <w:rPr>
                <w:rFonts w:ascii="Times New Roman"/>
                <w:sz w:val="24"/>
              </w:rPr>
            </w:pPr>
          </w:p>
        </w:tc>
        <w:tc>
          <w:tcPr>
            <w:tcW w:w="3670" w:type="dxa"/>
            <w:vMerge w:val="restart"/>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936" w:type="dxa"/>
            <w:vMerge w:val="continue"/>
            <w:tcBorders>
              <w:top w:val="nil"/>
            </w:tcBorders>
          </w:tcPr>
          <w:p>
            <w:pPr>
              <w:rPr>
                <w:sz w:val="2"/>
                <w:szCs w:val="2"/>
              </w:rPr>
            </w:pPr>
          </w:p>
        </w:tc>
        <w:tc>
          <w:tcPr>
            <w:tcW w:w="869" w:type="dxa"/>
            <w:tcBorders>
              <w:top w:val="nil"/>
              <w:bottom w:val="nil"/>
            </w:tcBorders>
          </w:tcPr>
          <w:p>
            <w:pPr>
              <w:pStyle w:val="9"/>
              <w:rPr>
                <w:rFonts w:ascii="Times New Roman"/>
                <w:sz w:val="24"/>
              </w:rPr>
            </w:pPr>
          </w:p>
        </w:tc>
        <w:tc>
          <w:tcPr>
            <w:tcW w:w="4524" w:type="dxa"/>
            <w:tcBorders>
              <w:top w:val="nil"/>
              <w:bottom w:val="nil"/>
            </w:tcBorders>
          </w:tcPr>
          <w:p>
            <w:pPr>
              <w:pStyle w:val="9"/>
              <w:spacing w:before="21"/>
              <w:ind w:left="107"/>
              <w:rPr>
                <w:sz w:val="24"/>
              </w:rPr>
            </w:pPr>
            <w:r>
              <w:rPr>
                <w:sz w:val="24"/>
              </w:rPr>
              <w:t>的制度，周期是否合理，方法是否便捷可</w:t>
            </w:r>
          </w:p>
        </w:tc>
        <w:tc>
          <w:tcPr>
            <w:tcW w:w="3816" w:type="dxa"/>
            <w:vMerge w:val="continue"/>
            <w:tcBorders>
              <w:top w:val="nil"/>
            </w:tcBorders>
          </w:tcPr>
          <w:p>
            <w:pPr>
              <w:rPr>
                <w:sz w:val="2"/>
                <w:szCs w:val="2"/>
              </w:rPr>
            </w:pPr>
          </w:p>
        </w:tc>
        <w:tc>
          <w:tcPr>
            <w:tcW w:w="3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trPr>
        <w:tc>
          <w:tcPr>
            <w:tcW w:w="936" w:type="dxa"/>
            <w:vMerge w:val="continue"/>
            <w:tcBorders>
              <w:top w:val="nil"/>
            </w:tcBorders>
          </w:tcPr>
          <w:p>
            <w:pPr>
              <w:rPr>
                <w:sz w:val="2"/>
                <w:szCs w:val="2"/>
              </w:rPr>
            </w:pPr>
          </w:p>
        </w:tc>
        <w:tc>
          <w:tcPr>
            <w:tcW w:w="869" w:type="dxa"/>
            <w:tcBorders>
              <w:top w:val="nil"/>
              <w:bottom w:val="nil"/>
            </w:tcBorders>
          </w:tcPr>
          <w:p>
            <w:pPr>
              <w:pStyle w:val="9"/>
              <w:spacing w:before="201" w:line="280" w:lineRule="auto"/>
              <w:ind w:left="107" w:right="269"/>
              <w:rPr>
                <w:sz w:val="24"/>
              </w:rPr>
            </w:pPr>
            <w:r>
              <w:rPr>
                <w:sz w:val="24"/>
              </w:rPr>
              <w:t>学生层面</w:t>
            </w:r>
          </w:p>
        </w:tc>
        <w:tc>
          <w:tcPr>
            <w:tcW w:w="4524" w:type="dxa"/>
            <w:tcBorders>
              <w:top w:val="nil"/>
              <w:bottom w:val="nil"/>
            </w:tcBorders>
          </w:tcPr>
          <w:p>
            <w:pPr>
              <w:pStyle w:val="9"/>
              <w:spacing w:before="21"/>
              <w:ind w:left="107"/>
              <w:rPr>
                <w:sz w:val="24"/>
              </w:rPr>
            </w:pPr>
            <w:r>
              <w:rPr>
                <w:sz w:val="24"/>
              </w:rPr>
              <w:t>操作。</w:t>
            </w:r>
          </w:p>
          <w:p>
            <w:pPr>
              <w:pStyle w:val="9"/>
              <w:numPr>
                <w:ilvl w:val="0"/>
                <w:numId w:val="15"/>
              </w:numPr>
              <w:tabs>
                <w:tab w:val="left" w:pos="349"/>
              </w:tabs>
              <w:spacing w:before="52" w:after="0" w:line="240" w:lineRule="auto"/>
              <w:ind w:left="348" w:right="0" w:hanging="242"/>
              <w:jc w:val="left"/>
              <w:rPr>
                <w:sz w:val="24"/>
              </w:rPr>
            </w:pPr>
            <w:r>
              <w:rPr>
                <w:sz w:val="24"/>
              </w:rPr>
              <w:t>所有学生是否按制度实施自我诊改。</w:t>
            </w:r>
          </w:p>
          <w:p>
            <w:pPr>
              <w:pStyle w:val="9"/>
              <w:numPr>
                <w:ilvl w:val="0"/>
                <w:numId w:val="15"/>
              </w:numPr>
              <w:tabs>
                <w:tab w:val="left" w:pos="349"/>
              </w:tabs>
              <w:spacing w:before="53" w:after="0" w:line="240" w:lineRule="auto"/>
              <w:ind w:left="348" w:right="0" w:hanging="242"/>
              <w:jc w:val="left"/>
              <w:rPr>
                <w:sz w:val="24"/>
              </w:rPr>
            </w:pPr>
            <w:r>
              <w:rPr>
                <w:spacing w:val="-1"/>
                <w:sz w:val="24"/>
              </w:rPr>
              <w:t>诊断结论是否依据数据和事实获得，自</w:t>
            </w:r>
          </w:p>
        </w:tc>
        <w:tc>
          <w:tcPr>
            <w:tcW w:w="3816" w:type="dxa"/>
            <w:vMerge w:val="continue"/>
            <w:tcBorders>
              <w:top w:val="nil"/>
            </w:tcBorders>
          </w:tcPr>
          <w:p>
            <w:pPr>
              <w:rPr>
                <w:sz w:val="2"/>
                <w:szCs w:val="2"/>
              </w:rPr>
            </w:pPr>
          </w:p>
        </w:tc>
        <w:tc>
          <w:tcPr>
            <w:tcW w:w="3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936" w:type="dxa"/>
            <w:vMerge w:val="continue"/>
            <w:tcBorders>
              <w:top w:val="nil"/>
            </w:tcBorders>
          </w:tcPr>
          <w:p>
            <w:pPr>
              <w:rPr>
                <w:sz w:val="2"/>
                <w:szCs w:val="2"/>
              </w:rPr>
            </w:pPr>
          </w:p>
        </w:tc>
        <w:tc>
          <w:tcPr>
            <w:tcW w:w="869" w:type="dxa"/>
            <w:tcBorders>
              <w:top w:val="nil"/>
              <w:bottom w:val="nil"/>
            </w:tcBorders>
          </w:tcPr>
          <w:p>
            <w:pPr>
              <w:pStyle w:val="9"/>
              <w:rPr>
                <w:rFonts w:ascii="Times New Roman"/>
                <w:sz w:val="24"/>
              </w:rPr>
            </w:pPr>
          </w:p>
        </w:tc>
        <w:tc>
          <w:tcPr>
            <w:tcW w:w="4524" w:type="dxa"/>
            <w:tcBorders>
              <w:top w:val="nil"/>
              <w:bottom w:val="nil"/>
            </w:tcBorders>
          </w:tcPr>
          <w:p>
            <w:pPr>
              <w:pStyle w:val="9"/>
              <w:spacing w:before="21"/>
              <w:ind w:left="107"/>
              <w:rPr>
                <w:sz w:val="24"/>
              </w:rPr>
            </w:pPr>
            <w:r>
              <w:rPr>
                <w:sz w:val="24"/>
              </w:rPr>
              <w:t>我诊断报告的陈述是否明确具体。是否根</w:t>
            </w:r>
          </w:p>
        </w:tc>
        <w:tc>
          <w:tcPr>
            <w:tcW w:w="3816" w:type="dxa"/>
            <w:vMerge w:val="continue"/>
            <w:tcBorders>
              <w:top w:val="nil"/>
            </w:tcBorders>
          </w:tcPr>
          <w:p>
            <w:pPr>
              <w:rPr>
                <w:sz w:val="2"/>
                <w:szCs w:val="2"/>
              </w:rPr>
            </w:pPr>
          </w:p>
        </w:tc>
        <w:tc>
          <w:tcPr>
            <w:tcW w:w="3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3" w:hRule="atLeast"/>
        </w:trPr>
        <w:tc>
          <w:tcPr>
            <w:tcW w:w="936" w:type="dxa"/>
            <w:vMerge w:val="continue"/>
            <w:tcBorders>
              <w:top w:val="nil"/>
            </w:tcBorders>
          </w:tcPr>
          <w:p>
            <w:pPr>
              <w:rPr>
                <w:sz w:val="2"/>
                <w:szCs w:val="2"/>
              </w:rPr>
            </w:pPr>
          </w:p>
        </w:tc>
        <w:tc>
          <w:tcPr>
            <w:tcW w:w="869" w:type="dxa"/>
            <w:tcBorders>
              <w:top w:val="nil"/>
            </w:tcBorders>
          </w:tcPr>
          <w:p>
            <w:pPr>
              <w:pStyle w:val="9"/>
              <w:rPr>
                <w:rFonts w:ascii="Times New Roman"/>
                <w:sz w:val="24"/>
              </w:rPr>
            </w:pPr>
          </w:p>
        </w:tc>
        <w:tc>
          <w:tcPr>
            <w:tcW w:w="4524" w:type="dxa"/>
            <w:tcBorders>
              <w:top w:val="nil"/>
            </w:tcBorders>
          </w:tcPr>
          <w:p>
            <w:pPr>
              <w:pStyle w:val="9"/>
              <w:spacing w:before="21" w:line="292" w:lineRule="exact"/>
              <w:ind w:left="107"/>
              <w:rPr>
                <w:sz w:val="24"/>
              </w:rPr>
            </w:pPr>
            <w:r>
              <w:rPr>
                <w:sz w:val="24"/>
              </w:rPr>
              <w:t>据自身基础进行改进。</w:t>
            </w:r>
          </w:p>
        </w:tc>
        <w:tc>
          <w:tcPr>
            <w:tcW w:w="3816" w:type="dxa"/>
            <w:vMerge w:val="continue"/>
            <w:tcBorders>
              <w:top w:val="nil"/>
            </w:tcBorders>
          </w:tcPr>
          <w:p>
            <w:pPr>
              <w:rPr>
                <w:sz w:val="2"/>
                <w:szCs w:val="2"/>
              </w:rPr>
            </w:pPr>
          </w:p>
        </w:tc>
        <w:tc>
          <w:tcPr>
            <w:tcW w:w="3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1805" w:type="dxa"/>
            <w:gridSpan w:val="2"/>
            <w:tcBorders>
              <w:bottom w:val="nil"/>
            </w:tcBorders>
          </w:tcPr>
          <w:p>
            <w:pPr>
              <w:pStyle w:val="9"/>
              <w:rPr>
                <w:rFonts w:ascii="Times New Roman"/>
                <w:sz w:val="24"/>
              </w:rPr>
            </w:pPr>
          </w:p>
        </w:tc>
        <w:tc>
          <w:tcPr>
            <w:tcW w:w="4524" w:type="dxa"/>
            <w:tcBorders>
              <w:bottom w:val="nil"/>
            </w:tcBorders>
          </w:tcPr>
          <w:p>
            <w:pPr>
              <w:pStyle w:val="9"/>
              <w:spacing w:before="47"/>
              <w:ind w:left="107"/>
              <w:rPr>
                <w:sz w:val="24"/>
              </w:rPr>
            </w:pPr>
            <w:r>
              <w:rPr>
                <w:sz w:val="24"/>
              </w:rPr>
              <w:t>1.学校领导是否重视诊改，扎实推进，师</w:t>
            </w:r>
          </w:p>
        </w:tc>
        <w:tc>
          <w:tcPr>
            <w:tcW w:w="3816" w:type="dxa"/>
            <w:vMerge w:val="restart"/>
          </w:tcPr>
          <w:p>
            <w:pPr>
              <w:pStyle w:val="9"/>
              <w:rPr>
                <w:rFonts w:ascii="Times New Roman"/>
                <w:sz w:val="24"/>
              </w:rPr>
            </w:pPr>
          </w:p>
        </w:tc>
        <w:tc>
          <w:tcPr>
            <w:tcW w:w="3670" w:type="dxa"/>
            <w:vMerge w:val="restart"/>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1805" w:type="dxa"/>
            <w:gridSpan w:val="2"/>
            <w:tcBorders>
              <w:top w:val="nil"/>
              <w:bottom w:val="nil"/>
            </w:tcBorders>
          </w:tcPr>
          <w:p>
            <w:pPr>
              <w:pStyle w:val="9"/>
              <w:rPr>
                <w:rFonts w:ascii="Times New Roman"/>
                <w:sz w:val="24"/>
              </w:rPr>
            </w:pPr>
          </w:p>
        </w:tc>
        <w:tc>
          <w:tcPr>
            <w:tcW w:w="4524" w:type="dxa"/>
            <w:tcBorders>
              <w:top w:val="nil"/>
              <w:bottom w:val="nil"/>
            </w:tcBorders>
          </w:tcPr>
          <w:p>
            <w:pPr>
              <w:pStyle w:val="9"/>
              <w:spacing w:before="21"/>
              <w:ind w:left="107"/>
              <w:rPr>
                <w:sz w:val="24"/>
              </w:rPr>
            </w:pPr>
            <w:r>
              <w:rPr>
                <w:sz w:val="24"/>
              </w:rPr>
              <w:t>生员工普遍能接受诊改理念，并落实于自</w:t>
            </w:r>
          </w:p>
        </w:tc>
        <w:tc>
          <w:tcPr>
            <w:tcW w:w="3816" w:type="dxa"/>
            <w:vMerge w:val="continue"/>
            <w:tcBorders>
              <w:top w:val="nil"/>
            </w:tcBorders>
          </w:tcPr>
          <w:p>
            <w:pPr>
              <w:rPr>
                <w:sz w:val="2"/>
                <w:szCs w:val="2"/>
              </w:rPr>
            </w:pPr>
          </w:p>
        </w:tc>
        <w:tc>
          <w:tcPr>
            <w:tcW w:w="3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1805" w:type="dxa"/>
            <w:gridSpan w:val="2"/>
            <w:tcBorders>
              <w:top w:val="nil"/>
              <w:bottom w:val="nil"/>
            </w:tcBorders>
          </w:tcPr>
          <w:p>
            <w:pPr>
              <w:pStyle w:val="9"/>
              <w:rPr>
                <w:rFonts w:ascii="Times New Roman"/>
                <w:sz w:val="24"/>
              </w:rPr>
            </w:pPr>
          </w:p>
        </w:tc>
        <w:tc>
          <w:tcPr>
            <w:tcW w:w="4524" w:type="dxa"/>
            <w:tcBorders>
              <w:top w:val="nil"/>
              <w:bottom w:val="nil"/>
            </w:tcBorders>
          </w:tcPr>
          <w:p>
            <w:pPr>
              <w:pStyle w:val="9"/>
              <w:spacing w:before="21"/>
              <w:ind w:left="107"/>
              <w:rPr>
                <w:sz w:val="24"/>
              </w:rPr>
            </w:pPr>
            <w:r>
              <w:rPr>
                <w:sz w:val="24"/>
              </w:rPr>
              <w:t>觉行动中。</w:t>
            </w:r>
          </w:p>
        </w:tc>
        <w:tc>
          <w:tcPr>
            <w:tcW w:w="3816" w:type="dxa"/>
            <w:vMerge w:val="continue"/>
            <w:tcBorders>
              <w:top w:val="nil"/>
            </w:tcBorders>
          </w:tcPr>
          <w:p>
            <w:pPr>
              <w:rPr>
                <w:sz w:val="2"/>
                <w:szCs w:val="2"/>
              </w:rPr>
            </w:pPr>
          </w:p>
        </w:tc>
        <w:tc>
          <w:tcPr>
            <w:tcW w:w="3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1805" w:type="dxa"/>
            <w:gridSpan w:val="2"/>
            <w:tcBorders>
              <w:top w:val="nil"/>
              <w:bottom w:val="nil"/>
            </w:tcBorders>
          </w:tcPr>
          <w:p>
            <w:pPr>
              <w:pStyle w:val="9"/>
              <w:rPr>
                <w:rFonts w:ascii="Times New Roman"/>
                <w:sz w:val="24"/>
              </w:rPr>
            </w:pPr>
          </w:p>
        </w:tc>
        <w:tc>
          <w:tcPr>
            <w:tcW w:w="4524" w:type="dxa"/>
            <w:tcBorders>
              <w:top w:val="nil"/>
              <w:bottom w:val="nil"/>
            </w:tcBorders>
          </w:tcPr>
          <w:p>
            <w:pPr>
              <w:pStyle w:val="9"/>
              <w:spacing w:before="21"/>
              <w:ind w:left="107"/>
              <w:rPr>
                <w:sz w:val="24"/>
              </w:rPr>
            </w:pPr>
            <w:r>
              <w:rPr>
                <w:sz w:val="24"/>
              </w:rPr>
              <w:t>2．学校是否建立与内部质量保证体系相</w:t>
            </w:r>
          </w:p>
        </w:tc>
        <w:tc>
          <w:tcPr>
            <w:tcW w:w="3816" w:type="dxa"/>
            <w:vMerge w:val="continue"/>
            <w:tcBorders>
              <w:top w:val="nil"/>
            </w:tcBorders>
          </w:tcPr>
          <w:p>
            <w:pPr>
              <w:rPr>
                <w:sz w:val="2"/>
                <w:szCs w:val="2"/>
              </w:rPr>
            </w:pPr>
          </w:p>
        </w:tc>
        <w:tc>
          <w:tcPr>
            <w:tcW w:w="3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1805" w:type="dxa"/>
            <w:gridSpan w:val="2"/>
            <w:tcBorders>
              <w:top w:val="nil"/>
              <w:bottom w:val="nil"/>
            </w:tcBorders>
          </w:tcPr>
          <w:p>
            <w:pPr>
              <w:pStyle w:val="9"/>
              <w:spacing w:before="21"/>
              <w:ind w:left="107"/>
              <w:rPr>
                <w:sz w:val="24"/>
              </w:rPr>
            </w:pPr>
            <w:r>
              <w:rPr>
                <w:sz w:val="24"/>
              </w:rPr>
              <w:t>引擎驱动与成</w:t>
            </w:r>
          </w:p>
        </w:tc>
        <w:tc>
          <w:tcPr>
            <w:tcW w:w="4524" w:type="dxa"/>
            <w:tcBorders>
              <w:top w:val="nil"/>
              <w:bottom w:val="nil"/>
            </w:tcBorders>
          </w:tcPr>
          <w:p>
            <w:pPr>
              <w:pStyle w:val="9"/>
              <w:spacing w:before="21"/>
              <w:ind w:left="107"/>
              <w:rPr>
                <w:sz w:val="24"/>
              </w:rPr>
            </w:pPr>
            <w:r>
              <w:rPr>
                <w:sz w:val="24"/>
              </w:rPr>
              <w:t>适应的考核激励制度，将考核与自我诊改</w:t>
            </w:r>
          </w:p>
        </w:tc>
        <w:tc>
          <w:tcPr>
            <w:tcW w:w="3816" w:type="dxa"/>
            <w:vMerge w:val="continue"/>
            <w:tcBorders>
              <w:top w:val="nil"/>
            </w:tcBorders>
          </w:tcPr>
          <w:p>
            <w:pPr>
              <w:rPr>
                <w:sz w:val="2"/>
                <w:szCs w:val="2"/>
              </w:rPr>
            </w:pPr>
          </w:p>
        </w:tc>
        <w:tc>
          <w:tcPr>
            <w:tcW w:w="3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1805" w:type="dxa"/>
            <w:gridSpan w:val="2"/>
            <w:tcBorders>
              <w:top w:val="nil"/>
              <w:bottom w:val="nil"/>
            </w:tcBorders>
          </w:tcPr>
          <w:p>
            <w:pPr>
              <w:pStyle w:val="9"/>
              <w:spacing w:before="21"/>
              <w:ind w:left="107"/>
              <w:rPr>
                <w:sz w:val="24"/>
              </w:rPr>
            </w:pPr>
            <w:r>
              <w:rPr>
                <w:sz w:val="24"/>
              </w:rPr>
              <w:t>效</w:t>
            </w:r>
          </w:p>
        </w:tc>
        <w:tc>
          <w:tcPr>
            <w:tcW w:w="4524" w:type="dxa"/>
            <w:tcBorders>
              <w:top w:val="nil"/>
              <w:bottom w:val="nil"/>
            </w:tcBorders>
          </w:tcPr>
          <w:p>
            <w:pPr>
              <w:pStyle w:val="9"/>
              <w:spacing w:before="21"/>
              <w:ind w:left="107"/>
              <w:rPr>
                <w:sz w:val="24"/>
              </w:rPr>
            </w:pPr>
            <w:r>
              <w:rPr>
                <w:sz w:val="24"/>
              </w:rPr>
              <w:t>相结合，体现以外部监管为主向以自我诊</w:t>
            </w:r>
          </w:p>
        </w:tc>
        <w:tc>
          <w:tcPr>
            <w:tcW w:w="3816" w:type="dxa"/>
            <w:vMerge w:val="continue"/>
            <w:tcBorders>
              <w:top w:val="nil"/>
            </w:tcBorders>
          </w:tcPr>
          <w:p>
            <w:pPr>
              <w:rPr>
                <w:sz w:val="2"/>
                <w:szCs w:val="2"/>
              </w:rPr>
            </w:pPr>
          </w:p>
        </w:tc>
        <w:tc>
          <w:tcPr>
            <w:tcW w:w="3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1805" w:type="dxa"/>
            <w:gridSpan w:val="2"/>
            <w:tcBorders>
              <w:top w:val="nil"/>
              <w:bottom w:val="nil"/>
            </w:tcBorders>
          </w:tcPr>
          <w:p>
            <w:pPr>
              <w:pStyle w:val="9"/>
              <w:rPr>
                <w:rFonts w:ascii="Times New Roman"/>
                <w:sz w:val="24"/>
              </w:rPr>
            </w:pPr>
          </w:p>
        </w:tc>
        <w:tc>
          <w:tcPr>
            <w:tcW w:w="4524" w:type="dxa"/>
            <w:tcBorders>
              <w:top w:val="nil"/>
              <w:bottom w:val="nil"/>
            </w:tcBorders>
          </w:tcPr>
          <w:p>
            <w:pPr>
              <w:pStyle w:val="9"/>
              <w:spacing w:before="21"/>
              <w:ind w:left="107"/>
              <w:rPr>
                <w:sz w:val="24"/>
              </w:rPr>
            </w:pPr>
            <w:r>
              <w:rPr>
                <w:sz w:val="24"/>
              </w:rPr>
              <w:t>改为主转变的走向。</w:t>
            </w:r>
          </w:p>
        </w:tc>
        <w:tc>
          <w:tcPr>
            <w:tcW w:w="3816" w:type="dxa"/>
            <w:vMerge w:val="continue"/>
            <w:tcBorders>
              <w:top w:val="nil"/>
            </w:tcBorders>
          </w:tcPr>
          <w:p>
            <w:pPr>
              <w:rPr>
                <w:sz w:val="2"/>
                <w:szCs w:val="2"/>
              </w:rPr>
            </w:pPr>
          </w:p>
        </w:tc>
        <w:tc>
          <w:tcPr>
            <w:tcW w:w="3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1805" w:type="dxa"/>
            <w:gridSpan w:val="2"/>
            <w:tcBorders>
              <w:top w:val="nil"/>
              <w:bottom w:val="nil"/>
            </w:tcBorders>
          </w:tcPr>
          <w:p>
            <w:pPr>
              <w:pStyle w:val="9"/>
              <w:rPr>
                <w:rFonts w:ascii="Times New Roman"/>
                <w:sz w:val="24"/>
              </w:rPr>
            </w:pPr>
          </w:p>
        </w:tc>
        <w:tc>
          <w:tcPr>
            <w:tcW w:w="4524" w:type="dxa"/>
            <w:tcBorders>
              <w:top w:val="nil"/>
              <w:bottom w:val="nil"/>
            </w:tcBorders>
          </w:tcPr>
          <w:p>
            <w:pPr>
              <w:pStyle w:val="9"/>
              <w:spacing w:before="21"/>
              <w:ind w:left="107"/>
              <w:rPr>
                <w:sz w:val="24"/>
              </w:rPr>
            </w:pPr>
            <w:r>
              <w:rPr>
                <w:sz w:val="24"/>
              </w:rPr>
              <w:t>3．各个主体的自我诊改是否逐渐趋向常</w:t>
            </w:r>
          </w:p>
        </w:tc>
        <w:tc>
          <w:tcPr>
            <w:tcW w:w="3816" w:type="dxa"/>
            <w:vMerge w:val="continue"/>
            <w:tcBorders>
              <w:top w:val="nil"/>
            </w:tcBorders>
          </w:tcPr>
          <w:p>
            <w:pPr>
              <w:rPr>
                <w:sz w:val="2"/>
                <w:szCs w:val="2"/>
              </w:rPr>
            </w:pPr>
          </w:p>
        </w:tc>
        <w:tc>
          <w:tcPr>
            <w:tcW w:w="3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1805" w:type="dxa"/>
            <w:gridSpan w:val="2"/>
            <w:tcBorders>
              <w:top w:val="nil"/>
              <w:bottom w:val="nil"/>
            </w:tcBorders>
          </w:tcPr>
          <w:p>
            <w:pPr>
              <w:pStyle w:val="9"/>
              <w:rPr>
                <w:rFonts w:ascii="Times New Roman"/>
                <w:sz w:val="24"/>
              </w:rPr>
            </w:pPr>
          </w:p>
        </w:tc>
        <w:tc>
          <w:tcPr>
            <w:tcW w:w="4524" w:type="dxa"/>
            <w:tcBorders>
              <w:top w:val="nil"/>
              <w:bottom w:val="nil"/>
            </w:tcBorders>
          </w:tcPr>
          <w:p>
            <w:pPr>
              <w:pStyle w:val="9"/>
              <w:spacing w:before="21"/>
              <w:ind w:left="107"/>
              <w:rPr>
                <w:sz w:val="24"/>
              </w:rPr>
            </w:pPr>
            <w:r>
              <w:rPr>
                <w:sz w:val="24"/>
              </w:rPr>
              <w:t>态化。师生员工对学校诊改工作是否满意</w:t>
            </w:r>
          </w:p>
        </w:tc>
        <w:tc>
          <w:tcPr>
            <w:tcW w:w="3816" w:type="dxa"/>
            <w:vMerge w:val="continue"/>
            <w:tcBorders>
              <w:top w:val="nil"/>
            </w:tcBorders>
          </w:tcPr>
          <w:p>
            <w:pPr>
              <w:rPr>
                <w:sz w:val="2"/>
                <w:szCs w:val="2"/>
              </w:rPr>
            </w:pPr>
          </w:p>
        </w:tc>
        <w:tc>
          <w:tcPr>
            <w:tcW w:w="367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3" w:hRule="atLeast"/>
        </w:trPr>
        <w:tc>
          <w:tcPr>
            <w:tcW w:w="1805" w:type="dxa"/>
            <w:gridSpan w:val="2"/>
            <w:tcBorders>
              <w:top w:val="nil"/>
            </w:tcBorders>
          </w:tcPr>
          <w:p>
            <w:pPr>
              <w:pStyle w:val="9"/>
              <w:rPr>
                <w:rFonts w:ascii="Times New Roman"/>
                <w:sz w:val="24"/>
              </w:rPr>
            </w:pPr>
          </w:p>
        </w:tc>
        <w:tc>
          <w:tcPr>
            <w:tcW w:w="4524" w:type="dxa"/>
            <w:tcBorders>
              <w:top w:val="nil"/>
            </w:tcBorders>
          </w:tcPr>
          <w:p>
            <w:pPr>
              <w:pStyle w:val="9"/>
              <w:spacing w:before="21" w:line="292" w:lineRule="exact"/>
              <w:ind w:left="107"/>
              <w:rPr>
                <w:sz w:val="24"/>
              </w:rPr>
            </w:pPr>
            <w:r>
              <w:rPr>
                <w:sz w:val="24"/>
              </w:rPr>
              <w:t>和有获得感。</w:t>
            </w:r>
          </w:p>
        </w:tc>
        <w:tc>
          <w:tcPr>
            <w:tcW w:w="3816" w:type="dxa"/>
            <w:vMerge w:val="continue"/>
            <w:tcBorders>
              <w:top w:val="nil"/>
            </w:tcBorders>
          </w:tcPr>
          <w:p>
            <w:pPr>
              <w:rPr>
                <w:sz w:val="2"/>
                <w:szCs w:val="2"/>
              </w:rPr>
            </w:pPr>
          </w:p>
        </w:tc>
        <w:tc>
          <w:tcPr>
            <w:tcW w:w="3670" w:type="dxa"/>
            <w:vMerge w:val="continue"/>
            <w:tcBorders>
              <w:top w:val="nil"/>
            </w:tcBorders>
          </w:tcPr>
          <w:p>
            <w:pPr>
              <w:rPr>
                <w:sz w:val="2"/>
                <w:szCs w:val="2"/>
              </w:rPr>
            </w:pPr>
          </w:p>
        </w:tc>
      </w:tr>
    </w:tbl>
    <w:p>
      <w:pPr>
        <w:spacing w:after="0"/>
        <w:rPr>
          <w:sz w:val="2"/>
          <w:szCs w:val="2"/>
        </w:rPr>
        <w:sectPr>
          <w:pgSz w:w="16840" w:h="11910" w:orient="landscape"/>
          <w:pgMar w:top="1100" w:right="1160" w:bottom="1540" w:left="1320" w:header="0" w:footer="1346" w:gutter="0"/>
        </w:sectPr>
      </w:pPr>
    </w:p>
    <w:p>
      <w:pPr>
        <w:pStyle w:val="4"/>
        <w:rPr>
          <w:rFonts w:ascii="Times New Roman"/>
          <w:sz w:val="20"/>
        </w:rPr>
      </w:pPr>
    </w:p>
    <w:p>
      <w:pPr>
        <w:pStyle w:val="4"/>
        <w:rPr>
          <w:rFonts w:ascii="Times New Roman"/>
          <w:sz w:val="20"/>
        </w:rPr>
      </w:pPr>
    </w:p>
    <w:p>
      <w:pPr>
        <w:pStyle w:val="4"/>
        <w:spacing w:before="1"/>
        <w:rPr>
          <w:rFonts w:ascii="Times New Roman"/>
          <w:sz w:val="20"/>
        </w:rPr>
      </w:pPr>
    </w:p>
    <w:tbl>
      <w:tblPr>
        <w:tblStyle w:val="6"/>
        <w:tblW w:w="13815"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5"/>
        <w:gridCol w:w="4524"/>
        <w:gridCol w:w="3816"/>
        <w:gridCol w:w="3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9" w:hRule="atLeast"/>
        </w:trPr>
        <w:tc>
          <w:tcPr>
            <w:tcW w:w="1805" w:type="dxa"/>
          </w:tcPr>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spacing w:before="192" w:line="280" w:lineRule="auto"/>
              <w:ind w:left="107" w:right="245"/>
              <w:rPr>
                <w:sz w:val="24"/>
              </w:rPr>
            </w:pPr>
            <w:r>
              <w:rPr>
                <w:sz w:val="24"/>
              </w:rPr>
              <w:t>平台建设与支撑</w:t>
            </w:r>
          </w:p>
        </w:tc>
        <w:tc>
          <w:tcPr>
            <w:tcW w:w="4524" w:type="dxa"/>
          </w:tcPr>
          <w:p>
            <w:pPr>
              <w:pStyle w:val="9"/>
              <w:spacing w:before="48" w:line="280" w:lineRule="auto"/>
              <w:ind w:left="107" w:right="84"/>
              <w:rPr>
                <w:sz w:val="24"/>
              </w:rPr>
            </w:pPr>
            <w:r>
              <w:rPr>
                <w:sz w:val="24"/>
              </w:rPr>
              <w:t xml:space="preserve">1.学校是否按智能化要求对平台建设进 </w:t>
            </w:r>
            <w:r>
              <w:rPr>
                <w:spacing w:val="-1"/>
                <w:sz w:val="24"/>
              </w:rPr>
              <w:t>行了顶层设计，平台架构是否具有实时、</w:t>
            </w:r>
            <w:r>
              <w:rPr>
                <w:sz w:val="24"/>
              </w:rPr>
              <w:t>常态化支撑学校诊改工作的以下功能：</w:t>
            </w:r>
          </w:p>
          <w:p>
            <w:pPr>
              <w:pStyle w:val="9"/>
              <w:numPr>
                <w:ilvl w:val="0"/>
                <w:numId w:val="16"/>
              </w:numPr>
              <w:tabs>
                <w:tab w:val="left" w:pos="709"/>
              </w:tabs>
              <w:spacing w:before="0" w:after="0" w:line="240" w:lineRule="auto"/>
              <w:ind w:left="708" w:right="0" w:hanging="602"/>
              <w:jc w:val="left"/>
              <w:rPr>
                <w:sz w:val="24"/>
              </w:rPr>
            </w:pPr>
            <w:r>
              <w:rPr>
                <w:sz w:val="24"/>
              </w:rPr>
              <w:t>能够实现数据的源头、即时采集。</w:t>
            </w:r>
          </w:p>
          <w:p>
            <w:pPr>
              <w:pStyle w:val="9"/>
              <w:numPr>
                <w:ilvl w:val="0"/>
                <w:numId w:val="16"/>
              </w:numPr>
              <w:tabs>
                <w:tab w:val="left" w:pos="709"/>
              </w:tabs>
              <w:spacing w:before="53" w:after="0" w:line="280" w:lineRule="auto"/>
              <w:ind w:left="107" w:right="204" w:firstLine="0"/>
              <w:jc w:val="left"/>
              <w:rPr>
                <w:sz w:val="24"/>
              </w:rPr>
            </w:pPr>
            <w:r>
              <w:rPr>
                <w:spacing w:val="-2"/>
                <w:sz w:val="24"/>
              </w:rPr>
              <w:t>能够消除信息孤岛，实现数据的实</w:t>
            </w:r>
            <w:r>
              <w:rPr>
                <w:sz w:val="24"/>
              </w:rPr>
              <w:t>时开放共享。</w:t>
            </w:r>
          </w:p>
          <w:p>
            <w:pPr>
              <w:pStyle w:val="9"/>
              <w:numPr>
                <w:ilvl w:val="0"/>
                <w:numId w:val="16"/>
              </w:numPr>
              <w:tabs>
                <w:tab w:val="left" w:pos="709"/>
              </w:tabs>
              <w:spacing w:before="0" w:after="0" w:line="280" w:lineRule="auto"/>
              <w:ind w:left="107" w:right="204" w:firstLine="0"/>
              <w:jc w:val="left"/>
              <w:rPr>
                <w:sz w:val="24"/>
              </w:rPr>
            </w:pPr>
            <w:r>
              <w:rPr>
                <w:spacing w:val="-2"/>
                <w:sz w:val="24"/>
              </w:rPr>
              <w:t>能够进行数据分析，并实时展现分</w:t>
            </w:r>
            <w:r>
              <w:rPr>
                <w:sz w:val="24"/>
              </w:rPr>
              <w:t>析结果。</w:t>
            </w:r>
          </w:p>
          <w:p>
            <w:pPr>
              <w:pStyle w:val="9"/>
              <w:numPr>
                <w:ilvl w:val="0"/>
                <w:numId w:val="17"/>
              </w:numPr>
              <w:tabs>
                <w:tab w:val="left" w:pos="349"/>
              </w:tabs>
              <w:spacing w:before="1" w:after="0" w:line="280" w:lineRule="auto"/>
              <w:ind w:left="107" w:right="96" w:firstLine="0"/>
              <w:jc w:val="left"/>
              <w:rPr>
                <w:sz w:val="24"/>
              </w:rPr>
            </w:pPr>
            <w:r>
              <w:rPr>
                <w:spacing w:val="-2"/>
                <w:sz w:val="24"/>
              </w:rPr>
              <w:t>学校是否按照顶层设计蓝图，扎实推进</w:t>
            </w:r>
            <w:r>
              <w:rPr>
                <w:sz w:val="24"/>
              </w:rPr>
              <w:t>平台建设。</w:t>
            </w:r>
          </w:p>
          <w:p>
            <w:pPr>
              <w:pStyle w:val="9"/>
              <w:numPr>
                <w:ilvl w:val="0"/>
                <w:numId w:val="17"/>
              </w:numPr>
              <w:tabs>
                <w:tab w:val="left" w:pos="349"/>
              </w:tabs>
              <w:spacing w:before="0" w:after="0" w:line="240" w:lineRule="auto"/>
              <w:ind w:left="348" w:right="0" w:hanging="242"/>
              <w:jc w:val="left"/>
              <w:rPr>
                <w:sz w:val="24"/>
              </w:rPr>
            </w:pPr>
            <w:r>
              <w:rPr>
                <w:spacing w:val="-2"/>
                <w:sz w:val="24"/>
              </w:rPr>
              <w:t>学校在数据分析、应用方面开展了哪些</w:t>
            </w:r>
          </w:p>
          <w:p>
            <w:pPr>
              <w:pStyle w:val="9"/>
              <w:spacing w:before="53" w:line="292" w:lineRule="exact"/>
              <w:ind w:left="107"/>
              <w:rPr>
                <w:sz w:val="24"/>
              </w:rPr>
            </w:pPr>
            <w:r>
              <w:rPr>
                <w:sz w:val="24"/>
              </w:rPr>
              <w:t>工作、取得了哪些成效。</w:t>
            </w:r>
          </w:p>
        </w:tc>
        <w:tc>
          <w:tcPr>
            <w:tcW w:w="3816" w:type="dxa"/>
          </w:tcPr>
          <w:p>
            <w:pPr>
              <w:pStyle w:val="9"/>
              <w:rPr>
                <w:rFonts w:ascii="Times New Roman"/>
                <w:sz w:val="24"/>
              </w:rPr>
            </w:pPr>
          </w:p>
        </w:tc>
        <w:tc>
          <w:tcPr>
            <w:tcW w:w="3670" w:type="dxa"/>
          </w:tcPr>
          <w:p>
            <w:pPr>
              <w:pStyle w:val="9"/>
              <w:rPr>
                <w:rFonts w:ascii="Times New Roman"/>
                <w:sz w:val="24"/>
              </w:rPr>
            </w:pPr>
          </w:p>
        </w:tc>
      </w:tr>
    </w:tbl>
    <w:p>
      <w:pPr>
        <w:pStyle w:val="4"/>
        <w:spacing w:before="5"/>
        <w:rPr>
          <w:rFonts w:ascii="Times New Roman"/>
          <w:sz w:val="29"/>
        </w:rPr>
      </w:pPr>
    </w:p>
    <w:p>
      <w:pPr>
        <w:tabs>
          <w:tab w:val="left" w:pos="6599"/>
          <w:tab w:val="left" w:pos="7319"/>
          <w:tab w:val="left" w:pos="8039"/>
        </w:tabs>
        <w:spacing w:before="67"/>
        <w:ind w:left="120" w:right="0" w:firstLine="0"/>
        <w:jc w:val="left"/>
        <w:rPr>
          <w:sz w:val="24"/>
        </w:rPr>
      </w:pPr>
      <w:r>
        <w:rPr>
          <w:sz w:val="24"/>
        </w:rPr>
        <w:t>校长（签字）：</w:t>
      </w:r>
      <w:r>
        <w:rPr>
          <w:sz w:val="24"/>
        </w:rPr>
        <w:tab/>
      </w:r>
      <w:r>
        <w:rPr>
          <w:sz w:val="24"/>
        </w:rPr>
        <w:t>年</w:t>
      </w:r>
      <w:r>
        <w:rPr>
          <w:sz w:val="24"/>
        </w:rPr>
        <w:tab/>
      </w:r>
      <w:r>
        <w:rPr>
          <w:sz w:val="24"/>
        </w:rPr>
        <w:t>月</w:t>
      </w:r>
      <w:r>
        <w:rPr>
          <w:sz w:val="24"/>
        </w:rPr>
        <w:tab/>
      </w:r>
      <w:r>
        <w:rPr>
          <w:sz w:val="24"/>
        </w:rPr>
        <w:t>日</w:t>
      </w:r>
    </w:p>
    <w:p>
      <w:pPr>
        <w:pStyle w:val="4"/>
        <w:spacing w:before="9"/>
        <w:rPr>
          <w:sz w:val="33"/>
        </w:rPr>
      </w:pPr>
    </w:p>
    <w:p>
      <w:pPr>
        <w:spacing w:before="0"/>
        <w:ind w:left="120" w:right="0" w:firstLine="0"/>
        <w:jc w:val="left"/>
        <w:rPr>
          <w:sz w:val="24"/>
        </w:rPr>
      </w:pPr>
      <w:r>
        <w:rPr>
          <w:sz w:val="24"/>
        </w:rPr>
        <w:t>注：1．报告内容必须真实、准确，务必写实，尽量不使用形容词和副词。</w:t>
      </w:r>
    </w:p>
    <w:p>
      <w:pPr>
        <w:pStyle w:val="8"/>
        <w:numPr>
          <w:ilvl w:val="0"/>
          <w:numId w:val="18"/>
        </w:numPr>
        <w:tabs>
          <w:tab w:val="left" w:pos="961"/>
        </w:tabs>
        <w:spacing w:before="19" w:after="0" w:line="240" w:lineRule="auto"/>
        <w:ind w:left="961" w:right="0" w:hanging="361"/>
        <w:jc w:val="left"/>
        <w:rPr>
          <w:sz w:val="24"/>
        </w:rPr>
      </w:pPr>
      <w:r>
        <w:rPr>
          <w:spacing w:val="-2"/>
          <w:sz w:val="24"/>
        </w:rPr>
        <w:t xml:space="preserve">每一项的“诊断结论”需阐明目标达成情况，尚存在的问题及原因分析，建议在 </w:t>
      </w:r>
      <w:r>
        <w:rPr>
          <w:sz w:val="24"/>
        </w:rPr>
        <w:t>500</w:t>
      </w:r>
      <w:r>
        <w:rPr>
          <w:spacing w:val="-12"/>
          <w:sz w:val="24"/>
        </w:rPr>
        <w:t xml:space="preserve"> 字左右。</w:t>
      </w:r>
    </w:p>
    <w:p>
      <w:pPr>
        <w:pStyle w:val="8"/>
        <w:numPr>
          <w:ilvl w:val="0"/>
          <w:numId w:val="18"/>
        </w:numPr>
        <w:tabs>
          <w:tab w:val="left" w:pos="961"/>
        </w:tabs>
        <w:spacing w:before="19" w:after="0" w:line="240" w:lineRule="auto"/>
        <w:ind w:left="961" w:right="0" w:hanging="361"/>
        <w:jc w:val="left"/>
        <w:rPr>
          <w:sz w:val="24"/>
        </w:rPr>
      </w:pPr>
      <w:r>
        <w:rPr>
          <w:spacing w:val="-3"/>
          <w:sz w:val="24"/>
        </w:rPr>
        <w:t xml:space="preserve">每一项的“拟改进措施”需突出针对性、注重可行性，建议在 </w:t>
      </w:r>
      <w:r>
        <w:rPr>
          <w:sz w:val="24"/>
        </w:rPr>
        <w:t>200</w:t>
      </w:r>
      <w:r>
        <w:rPr>
          <w:spacing w:val="-12"/>
          <w:sz w:val="24"/>
        </w:rPr>
        <w:t xml:space="preserve"> 字左右。</w:t>
      </w:r>
    </w:p>
    <w:sectPr>
      <w:pgSz w:w="16840" w:h="11910" w:orient="landscape"/>
      <w:pgMar w:top="1100" w:right="1160" w:bottom="1860" w:left="1320" w:header="0" w:footer="166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0" o:spid="_x0000_s2050" o:spt="202" type="#_x0000_t202" style="position:absolute;left:0pt;margin-left:460.25pt;margin-top:743.85pt;height:16.05pt;width:37.2pt;mso-position-horizontal-relative:page;mso-position-vertical-relative:page;z-index:-252388352;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hAnsi="宋体"/>
                    <w:sz w:val="28"/>
                  </w:rPr>
                </w:pPr>
                <w:r>
                  <w:rPr>
                    <w:rFonts w:ascii="宋体" w:hAnsi="宋体"/>
                    <w:sz w:val="28"/>
                  </w:rPr>
                  <w:t>—</w:t>
                </w:r>
                <w:r>
                  <w:fldChar w:fldCharType="begin"/>
                </w:r>
                <w:r>
                  <w:rPr>
                    <w:rFonts w:ascii="宋体" w:hAnsi="宋体"/>
                    <w:sz w:val="28"/>
                  </w:rPr>
                  <w:instrText xml:space="preserve"> PAGE </w:instrText>
                </w:r>
                <w:r>
                  <w:fldChar w:fldCharType="separate"/>
                </w:r>
                <w:r>
                  <w:t>3</w:t>
                </w:r>
                <w:r>
                  <w:fldChar w:fldCharType="end"/>
                </w:r>
                <w:r>
                  <w:rPr>
                    <w:rFonts w:ascii="宋体" w:hAnsi="宋体"/>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103pt;margin-top:759.6pt;height:16.05pt;width:44.15pt;mso-position-horizontal-relative:page;mso-position-vertical-relative:page;z-index:-252389376;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hAnsi="宋体"/>
                    <w:sz w:val="28"/>
                  </w:rPr>
                </w:pPr>
                <w:r>
                  <w:rPr>
                    <w:rFonts w:ascii="宋体" w:hAnsi="宋体"/>
                    <w:sz w:val="28"/>
                  </w:rPr>
                  <w:t>—</w:t>
                </w:r>
                <w:r>
                  <w:fldChar w:fldCharType="begin"/>
                </w:r>
                <w:r>
                  <w:rPr>
                    <w:rFonts w:ascii="宋体" w:hAnsi="宋体"/>
                    <w:sz w:val="28"/>
                  </w:rPr>
                  <w:instrText xml:space="preserve"> PAGE </w:instrText>
                </w:r>
                <w:r>
                  <w:fldChar w:fldCharType="separate"/>
                </w:r>
                <w:r>
                  <w:t>10</w:t>
                </w:r>
                <w:r>
                  <w:fldChar w:fldCharType="end"/>
                </w:r>
                <w:r>
                  <w:rPr>
                    <w:rFonts w:ascii="宋体" w:hAnsi="宋体"/>
                    <w:sz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2" o:spid="_x0000_s2052" o:spt="202" type="#_x0000_t202" style="position:absolute;left:0pt;margin-left:717.9pt;margin-top:497.25pt;height:16.05pt;width:44.15pt;mso-position-horizontal-relative:page;mso-position-vertical-relative:page;z-index:-252386304;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hAnsi="宋体"/>
                    <w:sz w:val="28"/>
                  </w:rPr>
                </w:pPr>
                <w:r>
                  <w:rPr>
                    <w:rFonts w:ascii="宋体" w:hAnsi="宋体"/>
                    <w:sz w:val="28"/>
                  </w:rPr>
                  <w:t>—</w:t>
                </w:r>
                <w:r>
                  <w:fldChar w:fldCharType="begin"/>
                </w:r>
                <w:r>
                  <w:rPr>
                    <w:rFonts w:ascii="宋体" w:hAnsi="宋体"/>
                    <w:sz w:val="28"/>
                  </w:rPr>
                  <w:instrText xml:space="preserve"> PAGE </w:instrText>
                </w:r>
                <w:r>
                  <w:fldChar w:fldCharType="separate"/>
                </w:r>
                <w:r>
                  <w:t>13</w:t>
                </w:r>
                <w:r>
                  <w:fldChar w:fldCharType="end"/>
                </w:r>
                <w:r>
                  <w:rPr>
                    <w:rFonts w:ascii="宋体" w:hAnsi="宋体"/>
                    <w:sz w:val="28"/>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1" o:spid="_x0000_s2051" o:spt="202" type="#_x0000_t202" style="position:absolute;left:0pt;margin-left:85pt;margin-top:513pt;height:16.05pt;width:44.15pt;mso-position-horizontal-relative:page;mso-position-vertical-relative:page;z-index:-252387328;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hAnsi="宋体"/>
                    <w:sz w:val="28"/>
                  </w:rPr>
                </w:pPr>
                <w:r>
                  <w:rPr>
                    <w:rFonts w:ascii="宋体" w:hAnsi="宋体"/>
                    <w:sz w:val="28"/>
                  </w:rPr>
                  <w:t>—</w:t>
                </w:r>
                <w:r>
                  <w:fldChar w:fldCharType="begin"/>
                </w:r>
                <w:r>
                  <w:rPr>
                    <w:rFonts w:ascii="宋体" w:hAnsi="宋体"/>
                    <w:sz w:val="28"/>
                  </w:rPr>
                  <w:instrText xml:space="preserve"> PAGE </w:instrText>
                </w:r>
                <w:r>
                  <w:fldChar w:fldCharType="separate"/>
                </w:r>
                <w:r>
                  <w:t>12</w:t>
                </w:r>
                <w:r>
                  <w:fldChar w:fldCharType="end"/>
                </w:r>
                <w:r>
                  <w:rPr>
                    <w:rFonts w:ascii="宋体" w:hAnsi="宋体"/>
                    <w:sz w:val="28"/>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3"/>
      <w:numFmt w:val="decimal"/>
      <w:lvlText w:val="%1."/>
      <w:lvlJc w:val="left"/>
      <w:pPr>
        <w:ind w:left="107" w:hanging="241"/>
        <w:jc w:val="left"/>
      </w:pPr>
      <w:rPr>
        <w:rFonts w:hint="default" w:ascii="仿宋" w:hAnsi="仿宋" w:eastAsia="仿宋" w:cs="仿宋"/>
        <w:spacing w:val="-18"/>
        <w:w w:val="100"/>
        <w:sz w:val="22"/>
        <w:szCs w:val="22"/>
        <w:lang w:val="zh-CN" w:eastAsia="zh-CN" w:bidi="zh-CN"/>
      </w:rPr>
    </w:lvl>
    <w:lvl w:ilvl="1" w:tentative="0">
      <w:start w:val="0"/>
      <w:numFmt w:val="bullet"/>
      <w:lvlText w:val="•"/>
      <w:lvlJc w:val="left"/>
      <w:pPr>
        <w:ind w:left="541" w:hanging="241"/>
      </w:pPr>
      <w:rPr>
        <w:rFonts w:hint="default"/>
        <w:lang w:val="zh-CN" w:eastAsia="zh-CN" w:bidi="zh-CN"/>
      </w:rPr>
    </w:lvl>
    <w:lvl w:ilvl="2" w:tentative="0">
      <w:start w:val="0"/>
      <w:numFmt w:val="bullet"/>
      <w:lvlText w:val="•"/>
      <w:lvlJc w:val="left"/>
      <w:pPr>
        <w:ind w:left="982" w:hanging="241"/>
      </w:pPr>
      <w:rPr>
        <w:rFonts w:hint="default"/>
        <w:lang w:val="zh-CN" w:eastAsia="zh-CN" w:bidi="zh-CN"/>
      </w:rPr>
    </w:lvl>
    <w:lvl w:ilvl="3" w:tentative="0">
      <w:start w:val="0"/>
      <w:numFmt w:val="bullet"/>
      <w:lvlText w:val="•"/>
      <w:lvlJc w:val="left"/>
      <w:pPr>
        <w:ind w:left="1424" w:hanging="241"/>
      </w:pPr>
      <w:rPr>
        <w:rFonts w:hint="default"/>
        <w:lang w:val="zh-CN" w:eastAsia="zh-CN" w:bidi="zh-CN"/>
      </w:rPr>
    </w:lvl>
    <w:lvl w:ilvl="4" w:tentative="0">
      <w:start w:val="0"/>
      <w:numFmt w:val="bullet"/>
      <w:lvlText w:val="•"/>
      <w:lvlJc w:val="left"/>
      <w:pPr>
        <w:ind w:left="1865" w:hanging="241"/>
      </w:pPr>
      <w:rPr>
        <w:rFonts w:hint="default"/>
        <w:lang w:val="zh-CN" w:eastAsia="zh-CN" w:bidi="zh-CN"/>
      </w:rPr>
    </w:lvl>
    <w:lvl w:ilvl="5" w:tentative="0">
      <w:start w:val="0"/>
      <w:numFmt w:val="bullet"/>
      <w:lvlText w:val="•"/>
      <w:lvlJc w:val="left"/>
      <w:pPr>
        <w:ind w:left="2307" w:hanging="241"/>
      </w:pPr>
      <w:rPr>
        <w:rFonts w:hint="default"/>
        <w:lang w:val="zh-CN" w:eastAsia="zh-CN" w:bidi="zh-CN"/>
      </w:rPr>
    </w:lvl>
    <w:lvl w:ilvl="6" w:tentative="0">
      <w:start w:val="0"/>
      <w:numFmt w:val="bullet"/>
      <w:lvlText w:val="•"/>
      <w:lvlJc w:val="left"/>
      <w:pPr>
        <w:ind w:left="2748" w:hanging="241"/>
      </w:pPr>
      <w:rPr>
        <w:rFonts w:hint="default"/>
        <w:lang w:val="zh-CN" w:eastAsia="zh-CN" w:bidi="zh-CN"/>
      </w:rPr>
    </w:lvl>
    <w:lvl w:ilvl="7" w:tentative="0">
      <w:start w:val="0"/>
      <w:numFmt w:val="bullet"/>
      <w:lvlText w:val="•"/>
      <w:lvlJc w:val="left"/>
      <w:pPr>
        <w:ind w:left="3189" w:hanging="241"/>
      </w:pPr>
      <w:rPr>
        <w:rFonts w:hint="default"/>
        <w:lang w:val="zh-CN" w:eastAsia="zh-CN" w:bidi="zh-CN"/>
      </w:rPr>
    </w:lvl>
    <w:lvl w:ilvl="8" w:tentative="0">
      <w:start w:val="0"/>
      <w:numFmt w:val="bullet"/>
      <w:lvlText w:val="•"/>
      <w:lvlJc w:val="left"/>
      <w:pPr>
        <w:ind w:left="3631" w:hanging="241"/>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119"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978" w:hanging="322"/>
      </w:pPr>
      <w:rPr>
        <w:rFonts w:hint="default"/>
        <w:lang w:val="zh-CN" w:eastAsia="zh-CN" w:bidi="zh-CN"/>
      </w:rPr>
    </w:lvl>
    <w:lvl w:ilvl="2" w:tentative="0">
      <w:start w:val="0"/>
      <w:numFmt w:val="bullet"/>
      <w:lvlText w:val="•"/>
      <w:lvlJc w:val="left"/>
      <w:pPr>
        <w:ind w:left="1837" w:hanging="322"/>
      </w:pPr>
      <w:rPr>
        <w:rFonts w:hint="default"/>
        <w:lang w:val="zh-CN" w:eastAsia="zh-CN" w:bidi="zh-CN"/>
      </w:rPr>
    </w:lvl>
    <w:lvl w:ilvl="3" w:tentative="0">
      <w:start w:val="0"/>
      <w:numFmt w:val="bullet"/>
      <w:lvlText w:val="•"/>
      <w:lvlJc w:val="left"/>
      <w:pPr>
        <w:ind w:left="2695" w:hanging="322"/>
      </w:pPr>
      <w:rPr>
        <w:rFonts w:hint="default"/>
        <w:lang w:val="zh-CN" w:eastAsia="zh-CN" w:bidi="zh-CN"/>
      </w:rPr>
    </w:lvl>
    <w:lvl w:ilvl="4" w:tentative="0">
      <w:start w:val="0"/>
      <w:numFmt w:val="bullet"/>
      <w:lvlText w:val="•"/>
      <w:lvlJc w:val="left"/>
      <w:pPr>
        <w:ind w:left="3554" w:hanging="322"/>
      </w:pPr>
      <w:rPr>
        <w:rFonts w:hint="default"/>
        <w:lang w:val="zh-CN" w:eastAsia="zh-CN" w:bidi="zh-CN"/>
      </w:rPr>
    </w:lvl>
    <w:lvl w:ilvl="5" w:tentative="0">
      <w:start w:val="0"/>
      <w:numFmt w:val="bullet"/>
      <w:lvlText w:val="•"/>
      <w:lvlJc w:val="left"/>
      <w:pPr>
        <w:ind w:left="4413" w:hanging="322"/>
      </w:pPr>
      <w:rPr>
        <w:rFonts w:hint="default"/>
        <w:lang w:val="zh-CN" w:eastAsia="zh-CN" w:bidi="zh-CN"/>
      </w:rPr>
    </w:lvl>
    <w:lvl w:ilvl="6" w:tentative="0">
      <w:start w:val="0"/>
      <w:numFmt w:val="bullet"/>
      <w:lvlText w:val="•"/>
      <w:lvlJc w:val="left"/>
      <w:pPr>
        <w:ind w:left="5271" w:hanging="322"/>
      </w:pPr>
      <w:rPr>
        <w:rFonts w:hint="default"/>
        <w:lang w:val="zh-CN" w:eastAsia="zh-CN" w:bidi="zh-CN"/>
      </w:rPr>
    </w:lvl>
    <w:lvl w:ilvl="7" w:tentative="0">
      <w:start w:val="0"/>
      <w:numFmt w:val="bullet"/>
      <w:lvlText w:val="•"/>
      <w:lvlJc w:val="left"/>
      <w:pPr>
        <w:ind w:left="6130" w:hanging="322"/>
      </w:pPr>
      <w:rPr>
        <w:rFonts w:hint="default"/>
        <w:lang w:val="zh-CN" w:eastAsia="zh-CN" w:bidi="zh-CN"/>
      </w:rPr>
    </w:lvl>
    <w:lvl w:ilvl="8" w:tentative="0">
      <w:start w:val="0"/>
      <w:numFmt w:val="bullet"/>
      <w:lvlText w:val="•"/>
      <w:lvlJc w:val="left"/>
      <w:pPr>
        <w:ind w:left="6989" w:hanging="322"/>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120" w:hanging="819"/>
        <w:jc w:val="left"/>
      </w:pPr>
      <w:rPr>
        <w:rFonts w:hint="default" w:ascii="仿宋" w:hAnsi="仿宋" w:eastAsia="仿宋" w:cs="仿宋"/>
        <w:spacing w:val="0"/>
        <w:w w:val="99"/>
        <w:sz w:val="30"/>
        <w:szCs w:val="30"/>
        <w:lang w:val="zh-CN" w:eastAsia="zh-CN" w:bidi="zh-CN"/>
      </w:rPr>
    </w:lvl>
    <w:lvl w:ilvl="1" w:tentative="0">
      <w:start w:val="0"/>
      <w:numFmt w:val="bullet"/>
      <w:lvlText w:val="•"/>
      <w:lvlJc w:val="left"/>
      <w:pPr>
        <w:ind w:left="978" w:hanging="819"/>
      </w:pPr>
      <w:rPr>
        <w:rFonts w:hint="default"/>
        <w:lang w:val="zh-CN" w:eastAsia="zh-CN" w:bidi="zh-CN"/>
      </w:rPr>
    </w:lvl>
    <w:lvl w:ilvl="2" w:tentative="0">
      <w:start w:val="0"/>
      <w:numFmt w:val="bullet"/>
      <w:lvlText w:val="•"/>
      <w:lvlJc w:val="left"/>
      <w:pPr>
        <w:ind w:left="1837" w:hanging="819"/>
      </w:pPr>
      <w:rPr>
        <w:rFonts w:hint="default"/>
        <w:lang w:val="zh-CN" w:eastAsia="zh-CN" w:bidi="zh-CN"/>
      </w:rPr>
    </w:lvl>
    <w:lvl w:ilvl="3" w:tentative="0">
      <w:start w:val="0"/>
      <w:numFmt w:val="bullet"/>
      <w:lvlText w:val="•"/>
      <w:lvlJc w:val="left"/>
      <w:pPr>
        <w:ind w:left="2695" w:hanging="819"/>
      </w:pPr>
      <w:rPr>
        <w:rFonts w:hint="default"/>
        <w:lang w:val="zh-CN" w:eastAsia="zh-CN" w:bidi="zh-CN"/>
      </w:rPr>
    </w:lvl>
    <w:lvl w:ilvl="4" w:tentative="0">
      <w:start w:val="0"/>
      <w:numFmt w:val="bullet"/>
      <w:lvlText w:val="•"/>
      <w:lvlJc w:val="left"/>
      <w:pPr>
        <w:ind w:left="3554" w:hanging="819"/>
      </w:pPr>
      <w:rPr>
        <w:rFonts w:hint="default"/>
        <w:lang w:val="zh-CN" w:eastAsia="zh-CN" w:bidi="zh-CN"/>
      </w:rPr>
    </w:lvl>
    <w:lvl w:ilvl="5" w:tentative="0">
      <w:start w:val="0"/>
      <w:numFmt w:val="bullet"/>
      <w:lvlText w:val="•"/>
      <w:lvlJc w:val="left"/>
      <w:pPr>
        <w:ind w:left="4413" w:hanging="819"/>
      </w:pPr>
      <w:rPr>
        <w:rFonts w:hint="default"/>
        <w:lang w:val="zh-CN" w:eastAsia="zh-CN" w:bidi="zh-CN"/>
      </w:rPr>
    </w:lvl>
    <w:lvl w:ilvl="6" w:tentative="0">
      <w:start w:val="0"/>
      <w:numFmt w:val="bullet"/>
      <w:lvlText w:val="•"/>
      <w:lvlJc w:val="left"/>
      <w:pPr>
        <w:ind w:left="5271" w:hanging="819"/>
      </w:pPr>
      <w:rPr>
        <w:rFonts w:hint="default"/>
        <w:lang w:val="zh-CN" w:eastAsia="zh-CN" w:bidi="zh-CN"/>
      </w:rPr>
    </w:lvl>
    <w:lvl w:ilvl="7" w:tentative="0">
      <w:start w:val="0"/>
      <w:numFmt w:val="bullet"/>
      <w:lvlText w:val="•"/>
      <w:lvlJc w:val="left"/>
      <w:pPr>
        <w:ind w:left="6130" w:hanging="819"/>
      </w:pPr>
      <w:rPr>
        <w:rFonts w:hint="default"/>
        <w:lang w:val="zh-CN" w:eastAsia="zh-CN" w:bidi="zh-CN"/>
      </w:rPr>
    </w:lvl>
    <w:lvl w:ilvl="8" w:tentative="0">
      <w:start w:val="0"/>
      <w:numFmt w:val="bullet"/>
      <w:lvlText w:val="•"/>
      <w:lvlJc w:val="left"/>
      <w:pPr>
        <w:ind w:left="6989" w:hanging="819"/>
      </w:pPr>
      <w:rPr>
        <w:rFonts w:hint="default"/>
        <w:lang w:val="zh-CN" w:eastAsia="zh-CN" w:bidi="zh-CN"/>
      </w:rPr>
    </w:lvl>
  </w:abstractNum>
  <w:abstractNum w:abstractNumId="3">
    <w:nsid w:val="C8879AEF"/>
    <w:multiLevelType w:val="multilevel"/>
    <w:tmpl w:val="C8879AEF"/>
    <w:lvl w:ilvl="0" w:tentative="0">
      <w:start w:val="1"/>
      <w:numFmt w:val="decimal"/>
      <w:lvlText w:val="%1."/>
      <w:lvlJc w:val="left"/>
      <w:pPr>
        <w:ind w:left="107" w:hanging="241"/>
        <w:jc w:val="left"/>
      </w:pPr>
      <w:rPr>
        <w:rFonts w:hint="default" w:ascii="仿宋" w:hAnsi="仿宋" w:eastAsia="仿宋" w:cs="仿宋"/>
        <w:spacing w:val="-18"/>
        <w:w w:val="100"/>
        <w:sz w:val="22"/>
        <w:szCs w:val="22"/>
        <w:lang w:val="zh-CN" w:eastAsia="zh-CN" w:bidi="zh-CN"/>
      </w:rPr>
    </w:lvl>
    <w:lvl w:ilvl="1" w:tentative="0">
      <w:start w:val="0"/>
      <w:numFmt w:val="bullet"/>
      <w:lvlText w:val="•"/>
      <w:lvlJc w:val="left"/>
      <w:pPr>
        <w:ind w:left="541" w:hanging="241"/>
      </w:pPr>
      <w:rPr>
        <w:rFonts w:hint="default"/>
        <w:lang w:val="zh-CN" w:eastAsia="zh-CN" w:bidi="zh-CN"/>
      </w:rPr>
    </w:lvl>
    <w:lvl w:ilvl="2" w:tentative="0">
      <w:start w:val="0"/>
      <w:numFmt w:val="bullet"/>
      <w:lvlText w:val="•"/>
      <w:lvlJc w:val="left"/>
      <w:pPr>
        <w:ind w:left="982" w:hanging="241"/>
      </w:pPr>
      <w:rPr>
        <w:rFonts w:hint="default"/>
        <w:lang w:val="zh-CN" w:eastAsia="zh-CN" w:bidi="zh-CN"/>
      </w:rPr>
    </w:lvl>
    <w:lvl w:ilvl="3" w:tentative="0">
      <w:start w:val="0"/>
      <w:numFmt w:val="bullet"/>
      <w:lvlText w:val="•"/>
      <w:lvlJc w:val="left"/>
      <w:pPr>
        <w:ind w:left="1424" w:hanging="241"/>
      </w:pPr>
      <w:rPr>
        <w:rFonts w:hint="default"/>
        <w:lang w:val="zh-CN" w:eastAsia="zh-CN" w:bidi="zh-CN"/>
      </w:rPr>
    </w:lvl>
    <w:lvl w:ilvl="4" w:tentative="0">
      <w:start w:val="0"/>
      <w:numFmt w:val="bullet"/>
      <w:lvlText w:val="•"/>
      <w:lvlJc w:val="left"/>
      <w:pPr>
        <w:ind w:left="1865" w:hanging="241"/>
      </w:pPr>
      <w:rPr>
        <w:rFonts w:hint="default"/>
        <w:lang w:val="zh-CN" w:eastAsia="zh-CN" w:bidi="zh-CN"/>
      </w:rPr>
    </w:lvl>
    <w:lvl w:ilvl="5" w:tentative="0">
      <w:start w:val="0"/>
      <w:numFmt w:val="bullet"/>
      <w:lvlText w:val="•"/>
      <w:lvlJc w:val="left"/>
      <w:pPr>
        <w:ind w:left="2307" w:hanging="241"/>
      </w:pPr>
      <w:rPr>
        <w:rFonts w:hint="default"/>
        <w:lang w:val="zh-CN" w:eastAsia="zh-CN" w:bidi="zh-CN"/>
      </w:rPr>
    </w:lvl>
    <w:lvl w:ilvl="6" w:tentative="0">
      <w:start w:val="0"/>
      <w:numFmt w:val="bullet"/>
      <w:lvlText w:val="•"/>
      <w:lvlJc w:val="left"/>
      <w:pPr>
        <w:ind w:left="2748" w:hanging="241"/>
      </w:pPr>
      <w:rPr>
        <w:rFonts w:hint="default"/>
        <w:lang w:val="zh-CN" w:eastAsia="zh-CN" w:bidi="zh-CN"/>
      </w:rPr>
    </w:lvl>
    <w:lvl w:ilvl="7" w:tentative="0">
      <w:start w:val="0"/>
      <w:numFmt w:val="bullet"/>
      <w:lvlText w:val="•"/>
      <w:lvlJc w:val="left"/>
      <w:pPr>
        <w:ind w:left="3189" w:hanging="241"/>
      </w:pPr>
      <w:rPr>
        <w:rFonts w:hint="default"/>
        <w:lang w:val="zh-CN" w:eastAsia="zh-CN" w:bidi="zh-CN"/>
      </w:rPr>
    </w:lvl>
    <w:lvl w:ilvl="8" w:tentative="0">
      <w:start w:val="0"/>
      <w:numFmt w:val="bullet"/>
      <w:lvlText w:val="•"/>
      <w:lvlJc w:val="left"/>
      <w:pPr>
        <w:ind w:left="3631" w:hanging="241"/>
      </w:pPr>
      <w:rPr>
        <w:rFonts w:hint="default"/>
        <w:lang w:val="zh-CN" w:eastAsia="zh-CN" w:bidi="zh-CN"/>
      </w:rPr>
    </w:lvl>
  </w:abstractNum>
  <w:abstractNum w:abstractNumId="4">
    <w:nsid w:val="CF092B84"/>
    <w:multiLevelType w:val="multilevel"/>
    <w:tmpl w:val="CF092B84"/>
    <w:lvl w:ilvl="0" w:tentative="0">
      <w:start w:val="1"/>
      <w:numFmt w:val="decimal"/>
      <w:lvlText w:val="（%1）"/>
      <w:lvlJc w:val="left"/>
      <w:pPr>
        <w:ind w:left="120" w:hanging="819"/>
        <w:jc w:val="left"/>
      </w:pPr>
      <w:rPr>
        <w:rFonts w:hint="default" w:ascii="仿宋" w:hAnsi="仿宋" w:eastAsia="仿宋" w:cs="仿宋"/>
        <w:spacing w:val="-8"/>
        <w:w w:val="99"/>
        <w:sz w:val="30"/>
        <w:szCs w:val="30"/>
        <w:lang w:val="zh-CN" w:eastAsia="zh-CN" w:bidi="zh-CN"/>
      </w:rPr>
    </w:lvl>
    <w:lvl w:ilvl="1" w:tentative="0">
      <w:start w:val="0"/>
      <w:numFmt w:val="bullet"/>
      <w:lvlText w:val="•"/>
      <w:lvlJc w:val="left"/>
      <w:pPr>
        <w:ind w:left="978" w:hanging="819"/>
      </w:pPr>
      <w:rPr>
        <w:rFonts w:hint="default"/>
        <w:lang w:val="zh-CN" w:eastAsia="zh-CN" w:bidi="zh-CN"/>
      </w:rPr>
    </w:lvl>
    <w:lvl w:ilvl="2" w:tentative="0">
      <w:start w:val="0"/>
      <w:numFmt w:val="bullet"/>
      <w:lvlText w:val="•"/>
      <w:lvlJc w:val="left"/>
      <w:pPr>
        <w:ind w:left="1837" w:hanging="819"/>
      </w:pPr>
      <w:rPr>
        <w:rFonts w:hint="default"/>
        <w:lang w:val="zh-CN" w:eastAsia="zh-CN" w:bidi="zh-CN"/>
      </w:rPr>
    </w:lvl>
    <w:lvl w:ilvl="3" w:tentative="0">
      <w:start w:val="0"/>
      <w:numFmt w:val="bullet"/>
      <w:lvlText w:val="•"/>
      <w:lvlJc w:val="left"/>
      <w:pPr>
        <w:ind w:left="2695" w:hanging="819"/>
      </w:pPr>
      <w:rPr>
        <w:rFonts w:hint="default"/>
        <w:lang w:val="zh-CN" w:eastAsia="zh-CN" w:bidi="zh-CN"/>
      </w:rPr>
    </w:lvl>
    <w:lvl w:ilvl="4" w:tentative="0">
      <w:start w:val="0"/>
      <w:numFmt w:val="bullet"/>
      <w:lvlText w:val="•"/>
      <w:lvlJc w:val="left"/>
      <w:pPr>
        <w:ind w:left="3554" w:hanging="819"/>
      </w:pPr>
      <w:rPr>
        <w:rFonts w:hint="default"/>
        <w:lang w:val="zh-CN" w:eastAsia="zh-CN" w:bidi="zh-CN"/>
      </w:rPr>
    </w:lvl>
    <w:lvl w:ilvl="5" w:tentative="0">
      <w:start w:val="0"/>
      <w:numFmt w:val="bullet"/>
      <w:lvlText w:val="•"/>
      <w:lvlJc w:val="left"/>
      <w:pPr>
        <w:ind w:left="4413" w:hanging="819"/>
      </w:pPr>
      <w:rPr>
        <w:rFonts w:hint="default"/>
        <w:lang w:val="zh-CN" w:eastAsia="zh-CN" w:bidi="zh-CN"/>
      </w:rPr>
    </w:lvl>
    <w:lvl w:ilvl="6" w:tentative="0">
      <w:start w:val="0"/>
      <w:numFmt w:val="bullet"/>
      <w:lvlText w:val="•"/>
      <w:lvlJc w:val="left"/>
      <w:pPr>
        <w:ind w:left="5271" w:hanging="819"/>
      </w:pPr>
      <w:rPr>
        <w:rFonts w:hint="default"/>
        <w:lang w:val="zh-CN" w:eastAsia="zh-CN" w:bidi="zh-CN"/>
      </w:rPr>
    </w:lvl>
    <w:lvl w:ilvl="7" w:tentative="0">
      <w:start w:val="0"/>
      <w:numFmt w:val="bullet"/>
      <w:lvlText w:val="•"/>
      <w:lvlJc w:val="left"/>
      <w:pPr>
        <w:ind w:left="6130" w:hanging="819"/>
      </w:pPr>
      <w:rPr>
        <w:rFonts w:hint="default"/>
        <w:lang w:val="zh-CN" w:eastAsia="zh-CN" w:bidi="zh-CN"/>
      </w:rPr>
    </w:lvl>
    <w:lvl w:ilvl="8" w:tentative="0">
      <w:start w:val="0"/>
      <w:numFmt w:val="bullet"/>
      <w:lvlText w:val="•"/>
      <w:lvlJc w:val="left"/>
      <w:pPr>
        <w:ind w:left="6989" w:hanging="819"/>
      </w:pPr>
      <w:rPr>
        <w:rFonts w:hint="default"/>
        <w:lang w:val="zh-CN" w:eastAsia="zh-CN" w:bidi="zh-CN"/>
      </w:rPr>
    </w:lvl>
  </w:abstractNum>
  <w:abstractNum w:abstractNumId="5">
    <w:nsid w:val="D7F9FE59"/>
    <w:multiLevelType w:val="multilevel"/>
    <w:tmpl w:val="D7F9FE59"/>
    <w:lvl w:ilvl="0" w:tentative="0">
      <w:start w:val="2"/>
      <w:numFmt w:val="decimal"/>
      <w:lvlText w:val="%1."/>
      <w:lvlJc w:val="left"/>
      <w:pPr>
        <w:ind w:left="961" w:hanging="361"/>
        <w:jc w:val="left"/>
      </w:pPr>
      <w:rPr>
        <w:rFonts w:hint="default" w:ascii="仿宋" w:hAnsi="仿宋" w:eastAsia="仿宋" w:cs="仿宋"/>
        <w:spacing w:val="-60"/>
        <w:w w:val="100"/>
        <w:sz w:val="22"/>
        <w:szCs w:val="22"/>
        <w:lang w:val="zh-CN" w:eastAsia="zh-CN" w:bidi="zh-CN"/>
      </w:rPr>
    </w:lvl>
    <w:lvl w:ilvl="1" w:tentative="0">
      <w:start w:val="0"/>
      <w:numFmt w:val="bullet"/>
      <w:lvlText w:val="•"/>
      <w:lvlJc w:val="left"/>
      <w:pPr>
        <w:ind w:left="2299" w:hanging="361"/>
      </w:pPr>
      <w:rPr>
        <w:rFonts w:hint="default"/>
        <w:lang w:val="zh-CN" w:eastAsia="zh-CN" w:bidi="zh-CN"/>
      </w:rPr>
    </w:lvl>
    <w:lvl w:ilvl="2" w:tentative="0">
      <w:start w:val="0"/>
      <w:numFmt w:val="bullet"/>
      <w:lvlText w:val="•"/>
      <w:lvlJc w:val="left"/>
      <w:pPr>
        <w:ind w:left="3639" w:hanging="361"/>
      </w:pPr>
      <w:rPr>
        <w:rFonts w:hint="default"/>
        <w:lang w:val="zh-CN" w:eastAsia="zh-CN" w:bidi="zh-CN"/>
      </w:rPr>
    </w:lvl>
    <w:lvl w:ilvl="3" w:tentative="0">
      <w:start w:val="0"/>
      <w:numFmt w:val="bullet"/>
      <w:lvlText w:val="•"/>
      <w:lvlJc w:val="left"/>
      <w:pPr>
        <w:ind w:left="4979" w:hanging="361"/>
      </w:pPr>
      <w:rPr>
        <w:rFonts w:hint="default"/>
        <w:lang w:val="zh-CN" w:eastAsia="zh-CN" w:bidi="zh-CN"/>
      </w:rPr>
    </w:lvl>
    <w:lvl w:ilvl="4" w:tentative="0">
      <w:start w:val="0"/>
      <w:numFmt w:val="bullet"/>
      <w:lvlText w:val="•"/>
      <w:lvlJc w:val="left"/>
      <w:pPr>
        <w:ind w:left="6319" w:hanging="361"/>
      </w:pPr>
      <w:rPr>
        <w:rFonts w:hint="default"/>
        <w:lang w:val="zh-CN" w:eastAsia="zh-CN" w:bidi="zh-CN"/>
      </w:rPr>
    </w:lvl>
    <w:lvl w:ilvl="5" w:tentative="0">
      <w:start w:val="0"/>
      <w:numFmt w:val="bullet"/>
      <w:lvlText w:val="•"/>
      <w:lvlJc w:val="left"/>
      <w:pPr>
        <w:ind w:left="7659" w:hanging="361"/>
      </w:pPr>
      <w:rPr>
        <w:rFonts w:hint="default"/>
        <w:lang w:val="zh-CN" w:eastAsia="zh-CN" w:bidi="zh-CN"/>
      </w:rPr>
    </w:lvl>
    <w:lvl w:ilvl="6" w:tentative="0">
      <w:start w:val="0"/>
      <w:numFmt w:val="bullet"/>
      <w:lvlText w:val="•"/>
      <w:lvlJc w:val="left"/>
      <w:pPr>
        <w:ind w:left="8999" w:hanging="361"/>
      </w:pPr>
      <w:rPr>
        <w:rFonts w:hint="default"/>
        <w:lang w:val="zh-CN" w:eastAsia="zh-CN" w:bidi="zh-CN"/>
      </w:rPr>
    </w:lvl>
    <w:lvl w:ilvl="7" w:tentative="0">
      <w:start w:val="0"/>
      <w:numFmt w:val="bullet"/>
      <w:lvlText w:val="•"/>
      <w:lvlJc w:val="left"/>
      <w:pPr>
        <w:ind w:left="10338" w:hanging="361"/>
      </w:pPr>
      <w:rPr>
        <w:rFonts w:hint="default"/>
        <w:lang w:val="zh-CN" w:eastAsia="zh-CN" w:bidi="zh-CN"/>
      </w:rPr>
    </w:lvl>
    <w:lvl w:ilvl="8" w:tentative="0">
      <w:start w:val="0"/>
      <w:numFmt w:val="bullet"/>
      <w:lvlText w:val="•"/>
      <w:lvlJc w:val="left"/>
      <w:pPr>
        <w:ind w:left="11678" w:hanging="361"/>
      </w:pPr>
      <w:rPr>
        <w:rFonts w:hint="default"/>
        <w:lang w:val="zh-CN" w:eastAsia="zh-CN" w:bidi="zh-CN"/>
      </w:rPr>
    </w:lvl>
  </w:abstractNum>
  <w:abstractNum w:abstractNumId="6">
    <w:nsid w:val="DCBA6B53"/>
    <w:multiLevelType w:val="multilevel"/>
    <w:tmpl w:val="DCBA6B53"/>
    <w:lvl w:ilvl="0" w:tentative="0">
      <w:start w:val="2"/>
      <w:numFmt w:val="decimal"/>
      <w:lvlText w:val="%1."/>
      <w:lvlJc w:val="left"/>
      <w:pPr>
        <w:ind w:left="107" w:hanging="241"/>
        <w:jc w:val="left"/>
      </w:pPr>
      <w:rPr>
        <w:rFonts w:hint="default" w:ascii="仿宋" w:hAnsi="仿宋" w:eastAsia="仿宋" w:cs="仿宋"/>
        <w:spacing w:val="-17"/>
        <w:w w:val="100"/>
        <w:sz w:val="22"/>
        <w:szCs w:val="22"/>
        <w:lang w:val="zh-CN" w:eastAsia="zh-CN" w:bidi="zh-CN"/>
      </w:rPr>
    </w:lvl>
    <w:lvl w:ilvl="1" w:tentative="0">
      <w:start w:val="0"/>
      <w:numFmt w:val="bullet"/>
      <w:lvlText w:val="•"/>
      <w:lvlJc w:val="left"/>
      <w:pPr>
        <w:ind w:left="541" w:hanging="241"/>
      </w:pPr>
      <w:rPr>
        <w:rFonts w:hint="default"/>
        <w:lang w:val="zh-CN" w:eastAsia="zh-CN" w:bidi="zh-CN"/>
      </w:rPr>
    </w:lvl>
    <w:lvl w:ilvl="2" w:tentative="0">
      <w:start w:val="0"/>
      <w:numFmt w:val="bullet"/>
      <w:lvlText w:val="•"/>
      <w:lvlJc w:val="left"/>
      <w:pPr>
        <w:ind w:left="982" w:hanging="241"/>
      </w:pPr>
      <w:rPr>
        <w:rFonts w:hint="default"/>
        <w:lang w:val="zh-CN" w:eastAsia="zh-CN" w:bidi="zh-CN"/>
      </w:rPr>
    </w:lvl>
    <w:lvl w:ilvl="3" w:tentative="0">
      <w:start w:val="0"/>
      <w:numFmt w:val="bullet"/>
      <w:lvlText w:val="•"/>
      <w:lvlJc w:val="left"/>
      <w:pPr>
        <w:ind w:left="1424" w:hanging="241"/>
      </w:pPr>
      <w:rPr>
        <w:rFonts w:hint="default"/>
        <w:lang w:val="zh-CN" w:eastAsia="zh-CN" w:bidi="zh-CN"/>
      </w:rPr>
    </w:lvl>
    <w:lvl w:ilvl="4" w:tentative="0">
      <w:start w:val="0"/>
      <w:numFmt w:val="bullet"/>
      <w:lvlText w:val="•"/>
      <w:lvlJc w:val="left"/>
      <w:pPr>
        <w:ind w:left="1865" w:hanging="241"/>
      </w:pPr>
      <w:rPr>
        <w:rFonts w:hint="default"/>
        <w:lang w:val="zh-CN" w:eastAsia="zh-CN" w:bidi="zh-CN"/>
      </w:rPr>
    </w:lvl>
    <w:lvl w:ilvl="5" w:tentative="0">
      <w:start w:val="0"/>
      <w:numFmt w:val="bullet"/>
      <w:lvlText w:val="•"/>
      <w:lvlJc w:val="left"/>
      <w:pPr>
        <w:ind w:left="2307" w:hanging="241"/>
      </w:pPr>
      <w:rPr>
        <w:rFonts w:hint="default"/>
        <w:lang w:val="zh-CN" w:eastAsia="zh-CN" w:bidi="zh-CN"/>
      </w:rPr>
    </w:lvl>
    <w:lvl w:ilvl="6" w:tentative="0">
      <w:start w:val="0"/>
      <w:numFmt w:val="bullet"/>
      <w:lvlText w:val="•"/>
      <w:lvlJc w:val="left"/>
      <w:pPr>
        <w:ind w:left="2748" w:hanging="241"/>
      </w:pPr>
      <w:rPr>
        <w:rFonts w:hint="default"/>
        <w:lang w:val="zh-CN" w:eastAsia="zh-CN" w:bidi="zh-CN"/>
      </w:rPr>
    </w:lvl>
    <w:lvl w:ilvl="7" w:tentative="0">
      <w:start w:val="0"/>
      <w:numFmt w:val="bullet"/>
      <w:lvlText w:val="•"/>
      <w:lvlJc w:val="left"/>
      <w:pPr>
        <w:ind w:left="3189" w:hanging="241"/>
      </w:pPr>
      <w:rPr>
        <w:rFonts w:hint="default"/>
        <w:lang w:val="zh-CN" w:eastAsia="zh-CN" w:bidi="zh-CN"/>
      </w:rPr>
    </w:lvl>
    <w:lvl w:ilvl="8" w:tentative="0">
      <w:start w:val="0"/>
      <w:numFmt w:val="bullet"/>
      <w:lvlText w:val="•"/>
      <w:lvlJc w:val="left"/>
      <w:pPr>
        <w:ind w:left="3631" w:hanging="241"/>
      </w:pPr>
      <w:rPr>
        <w:rFonts w:hint="default"/>
        <w:lang w:val="zh-CN" w:eastAsia="zh-CN" w:bidi="zh-CN"/>
      </w:rPr>
    </w:lvl>
  </w:abstractNum>
  <w:abstractNum w:abstractNumId="7">
    <w:nsid w:val="F4B5D9F5"/>
    <w:multiLevelType w:val="multilevel"/>
    <w:tmpl w:val="F4B5D9F5"/>
    <w:lvl w:ilvl="0" w:tentative="0">
      <w:start w:val="2"/>
      <w:numFmt w:val="decimal"/>
      <w:lvlText w:val="%1."/>
      <w:lvlJc w:val="left"/>
      <w:pPr>
        <w:ind w:left="348"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757" w:hanging="241"/>
      </w:pPr>
      <w:rPr>
        <w:rFonts w:hint="default"/>
        <w:lang w:val="zh-CN" w:eastAsia="zh-CN" w:bidi="zh-CN"/>
      </w:rPr>
    </w:lvl>
    <w:lvl w:ilvl="2" w:tentative="0">
      <w:start w:val="0"/>
      <w:numFmt w:val="bullet"/>
      <w:lvlText w:val="•"/>
      <w:lvlJc w:val="left"/>
      <w:pPr>
        <w:ind w:left="1174" w:hanging="241"/>
      </w:pPr>
      <w:rPr>
        <w:rFonts w:hint="default"/>
        <w:lang w:val="zh-CN" w:eastAsia="zh-CN" w:bidi="zh-CN"/>
      </w:rPr>
    </w:lvl>
    <w:lvl w:ilvl="3" w:tentative="0">
      <w:start w:val="0"/>
      <w:numFmt w:val="bullet"/>
      <w:lvlText w:val="•"/>
      <w:lvlJc w:val="left"/>
      <w:pPr>
        <w:ind w:left="1592" w:hanging="241"/>
      </w:pPr>
      <w:rPr>
        <w:rFonts w:hint="default"/>
        <w:lang w:val="zh-CN" w:eastAsia="zh-CN" w:bidi="zh-CN"/>
      </w:rPr>
    </w:lvl>
    <w:lvl w:ilvl="4" w:tentative="0">
      <w:start w:val="0"/>
      <w:numFmt w:val="bullet"/>
      <w:lvlText w:val="•"/>
      <w:lvlJc w:val="left"/>
      <w:pPr>
        <w:ind w:left="2009" w:hanging="241"/>
      </w:pPr>
      <w:rPr>
        <w:rFonts w:hint="default"/>
        <w:lang w:val="zh-CN" w:eastAsia="zh-CN" w:bidi="zh-CN"/>
      </w:rPr>
    </w:lvl>
    <w:lvl w:ilvl="5" w:tentative="0">
      <w:start w:val="0"/>
      <w:numFmt w:val="bullet"/>
      <w:lvlText w:val="•"/>
      <w:lvlJc w:val="left"/>
      <w:pPr>
        <w:ind w:left="2427" w:hanging="241"/>
      </w:pPr>
      <w:rPr>
        <w:rFonts w:hint="default"/>
        <w:lang w:val="zh-CN" w:eastAsia="zh-CN" w:bidi="zh-CN"/>
      </w:rPr>
    </w:lvl>
    <w:lvl w:ilvl="6" w:tentative="0">
      <w:start w:val="0"/>
      <w:numFmt w:val="bullet"/>
      <w:lvlText w:val="•"/>
      <w:lvlJc w:val="left"/>
      <w:pPr>
        <w:ind w:left="2844" w:hanging="241"/>
      </w:pPr>
      <w:rPr>
        <w:rFonts w:hint="default"/>
        <w:lang w:val="zh-CN" w:eastAsia="zh-CN" w:bidi="zh-CN"/>
      </w:rPr>
    </w:lvl>
    <w:lvl w:ilvl="7" w:tentative="0">
      <w:start w:val="0"/>
      <w:numFmt w:val="bullet"/>
      <w:lvlText w:val="•"/>
      <w:lvlJc w:val="left"/>
      <w:pPr>
        <w:ind w:left="3261" w:hanging="241"/>
      </w:pPr>
      <w:rPr>
        <w:rFonts w:hint="default"/>
        <w:lang w:val="zh-CN" w:eastAsia="zh-CN" w:bidi="zh-CN"/>
      </w:rPr>
    </w:lvl>
    <w:lvl w:ilvl="8" w:tentative="0">
      <w:start w:val="0"/>
      <w:numFmt w:val="bullet"/>
      <w:lvlText w:val="•"/>
      <w:lvlJc w:val="left"/>
      <w:pPr>
        <w:ind w:left="3679" w:hanging="241"/>
      </w:pPr>
      <w:rPr>
        <w:rFonts w:hint="default"/>
        <w:lang w:val="zh-CN" w:eastAsia="zh-CN" w:bidi="zh-CN"/>
      </w:rPr>
    </w:lvl>
  </w:abstractNum>
  <w:abstractNum w:abstractNumId="8">
    <w:nsid w:val="0053208E"/>
    <w:multiLevelType w:val="multilevel"/>
    <w:tmpl w:val="0053208E"/>
    <w:lvl w:ilvl="0" w:tentative="0">
      <w:start w:val="1"/>
      <w:numFmt w:val="decimal"/>
      <w:lvlText w:val="%1."/>
      <w:lvlJc w:val="left"/>
      <w:pPr>
        <w:ind w:left="1082"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1842" w:hanging="322"/>
      </w:pPr>
      <w:rPr>
        <w:rFonts w:hint="default"/>
        <w:lang w:val="zh-CN" w:eastAsia="zh-CN" w:bidi="zh-CN"/>
      </w:rPr>
    </w:lvl>
    <w:lvl w:ilvl="2" w:tentative="0">
      <w:start w:val="0"/>
      <w:numFmt w:val="bullet"/>
      <w:lvlText w:val="•"/>
      <w:lvlJc w:val="left"/>
      <w:pPr>
        <w:ind w:left="2605" w:hanging="322"/>
      </w:pPr>
      <w:rPr>
        <w:rFonts w:hint="default"/>
        <w:lang w:val="zh-CN" w:eastAsia="zh-CN" w:bidi="zh-CN"/>
      </w:rPr>
    </w:lvl>
    <w:lvl w:ilvl="3" w:tentative="0">
      <w:start w:val="0"/>
      <w:numFmt w:val="bullet"/>
      <w:lvlText w:val="•"/>
      <w:lvlJc w:val="left"/>
      <w:pPr>
        <w:ind w:left="3367" w:hanging="322"/>
      </w:pPr>
      <w:rPr>
        <w:rFonts w:hint="default"/>
        <w:lang w:val="zh-CN" w:eastAsia="zh-CN" w:bidi="zh-CN"/>
      </w:rPr>
    </w:lvl>
    <w:lvl w:ilvl="4" w:tentative="0">
      <w:start w:val="0"/>
      <w:numFmt w:val="bullet"/>
      <w:lvlText w:val="•"/>
      <w:lvlJc w:val="left"/>
      <w:pPr>
        <w:ind w:left="4130" w:hanging="322"/>
      </w:pPr>
      <w:rPr>
        <w:rFonts w:hint="default"/>
        <w:lang w:val="zh-CN" w:eastAsia="zh-CN" w:bidi="zh-CN"/>
      </w:rPr>
    </w:lvl>
    <w:lvl w:ilvl="5" w:tentative="0">
      <w:start w:val="0"/>
      <w:numFmt w:val="bullet"/>
      <w:lvlText w:val="•"/>
      <w:lvlJc w:val="left"/>
      <w:pPr>
        <w:ind w:left="4893" w:hanging="322"/>
      </w:pPr>
      <w:rPr>
        <w:rFonts w:hint="default"/>
        <w:lang w:val="zh-CN" w:eastAsia="zh-CN" w:bidi="zh-CN"/>
      </w:rPr>
    </w:lvl>
    <w:lvl w:ilvl="6" w:tentative="0">
      <w:start w:val="0"/>
      <w:numFmt w:val="bullet"/>
      <w:lvlText w:val="•"/>
      <w:lvlJc w:val="left"/>
      <w:pPr>
        <w:ind w:left="5655" w:hanging="322"/>
      </w:pPr>
      <w:rPr>
        <w:rFonts w:hint="default"/>
        <w:lang w:val="zh-CN" w:eastAsia="zh-CN" w:bidi="zh-CN"/>
      </w:rPr>
    </w:lvl>
    <w:lvl w:ilvl="7" w:tentative="0">
      <w:start w:val="0"/>
      <w:numFmt w:val="bullet"/>
      <w:lvlText w:val="•"/>
      <w:lvlJc w:val="left"/>
      <w:pPr>
        <w:ind w:left="6418" w:hanging="322"/>
      </w:pPr>
      <w:rPr>
        <w:rFonts w:hint="default"/>
        <w:lang w:val="zh-CN" w:eastAsia="zh-CN" w:bidi="zh-CN"/>
      </w:rPr>
    </w:lvl>
    <w:lvl w:ilvl="8" w:tentative="0">
      <w:start w:val="0"/>
      <w:numFmt w:val="bullet"/>
      <w:lvlText w:val="•"/>
      <w:lvlJc w:val="left"/>
      <w:pPr>
        <w:ind w:left="7181" w:hanging="322"/>
      </w:pPr>
      <w:rPr>
        <w:rFonts w:hint="default"/>
        <w:lang w:val="zh-CN" w:eastAsia="zh-CN" w:bidi="zh-CN"/>
      </w:rPr>
    </w:lvl>
  </w:abstractNum>
  <w:abstractNum w:abstractNumId="9">
    <w:nsid w:val="0248C179"/>
    <w:multiLevelType w:val="multilevel"/>
    <w:tmpl w:val="0248C179"/>
    <w:lvl w:ilvl="0" w:tentative="0">
      <w:start w:val="1"/>
      <w:numFmt w:val="decimal"/>
      <w:lvlText w:val="（%1）"/>
      <w:lvlJc w:val="left"/>
      <w:pPr>
        <w:ind w:left="120" w:hanging="819"/>
        <w:jc w:val="left"/>
      </w:pPr>
      <w:rPr>
        <w:rFonts w:hint="default" w:ascii="仿宋" w:hAnsi="仿宋" w:eastAsia="仿宋" w:cs="仿宋"/>
        <w:spacing w:val="0"/>
        <w:w w:val="99"/>
        <w:sz w:val="30"/>
        <w:szCs w:val="30"/>
        <w:lang w:val="zh-CN" w:eastAsia="zh-CN" w:bidi="zh-CN"/>
      </w:rPr>
    </w:lvl>
    <w:lvl w:ilvl="1" w:tentative="0">
      <w:start w:val="0"/>
      <w:numFmt w:val="bullet"/>
      <w:lvlText w:val="•"/>
      <w:lvlJc w:val="left"/>
      <w:pPr>
        <w:ind w:left="978" w:hanging="819"/>
      </w:pPr>
      <w:rPr>
        <w:rFonts w:hint="default"/>
        <w:lang w:val="zh-CN" w:eastAsia="zh-CN" w:bidi="zh-CN"/>
      </w:rPr>
    </w:lvl>
    <w:lvl w:ilvl="2" w:tentative="0">
      <w:start w:val="0"/>
      <w:numFmt w:val="bullet"/>
      <w:lvlText w:val="•"/>
      <w:lvlJc w:val="left"/>
      <w:pPr>
        <w:ind w:left="1837" w:hanging="819"/>
      </w:pPr>
      <w:rPr>
        <w:rFonts w:hint="default"/>
        <w:lang w:val="zh-CN" w:eastAsia="zh-CN" w:bidi="zh-CN"/>
      </w:rPr>
    </w:lvl>
    <w:lvl w:ilvl="3" w:tentative="0">
      <w:start w:val="0"/>
      <w:numFmt w:val="bullet"/>
      <w:lvlText w:val="•"/>
      <w:lvlJc w:val="left"/>
      <w:pPr>
        <w:ind w:left="2695" w:hanging="819"/>
      </w:pPr>
      <w:rPr>
        <w:rFonts w:hint="default"/>
        <w:lang w:val="zh-CN" w:eastAsia="zh-CN" w:bidi="zh-CN"/>
      </w:rPr>
    </w:lvl>
    <w:lvl w:ilvl="4" w:tentative="0">
      <w:start w:val="0"/>
      <w:numFmt w:val="bullet"/>
      <w:lvlText w:val="•"/>
      <w:lvlJc w:val="left"/>
      <w:pPr>
        <w:ind w:left="3554" w:hanging="819"/>
      </w:pPr>
      <w:rPr>
        <w:rFonts w:hint="default"/>
        <w:lang w:val="zh-CN" w:eastAsia="zh-CN" w:bidi="zh-CN"/>
      </w:rPr>
    </w:lvl>
    <w:lvl w:ilvl="5" w:tentative="0">
      <w:start w:val="0"/>
      <w:numFmt w:val="bullet"/>
      <w:lvlText w:val="•"/>
      <w:lvlJc w:val="left"/>
      <w:pPr>
        <w:ind w:left="4413" w:hanging="819"/>
      </w:pPr>
      <w:rPr>
        <w:rFonts w:hint="default"/>
        <w:lang w:val="zh-CN" w:eastAsia="zh-CN" w:bidi="zh-CN"/>
      </w:rPr>
    </w:lvl>
    <w:lvl w:ilvl="6" w:tentative="0">
      <w:start w:val="0"/>
      <w:numFmt w:val="bullet"/>
      <w:lvlText w:val="•"/>
      <w:lvlJc w:val="left"/>
      <w:pPr>
        <w:ind w:left="5271" w:hanging="819"/>
      </w:pPr>
      <w:rPr>
        <w:rFonts w:hint="default"/>
        <w:lang w:val="zh-CN" w:eastAsia="zh-CN" w:bidi="zh-CN"/>
      </w:rPr>
    </w:lvl>
    <w:lvl w:ilvl="7" w:tentative="0">
      <w:start w:val="0"/>
      <w:numFmt w:val="bullet"/>
      <w:lvlText w:val="•"/>
      <w:lvlJc w:val="left"/>
      <w:pPr>
        <w:ind w:left="6130" w:hanging="819"/>
      </w:pPr>
      <w:rPr>
        <w:rFonts w:hint="default"/>
        <w:lang w:val="zh-CN" w:eastAsia="zh-CN" w:bidi="zh-CN"/>
      </w:rPr>
    </w:lvl>
    <w:lvl w:ilvl="8" w:tentative="0">
      <w:start w:val="0"/>
      <w:numFmt w:val="bullet"/>
      <w:lvlText w:val="•"/>
      <w:lvlJc w:val="left"/>
      <w:pPr>
        <w:ind w:left="6989" w:hanging="819"/>
      </w:pPr>
      <w:rPr>
        <w:rFonts w:hint="default"/>
        <w:lang w:val="zh-CN" w:eastAsia="zh-CN" w:bidi="zh-CN"/>
      </w:rPr>
    </w:lvl>
  </w:abstractNum>
  <w:abstractNum w:abstractNumId="10">
    <w:nsid w:val="03D62ECE"/>
    <w:multiLevelType w:val="multilevel"/>
    <w:tmpl w:val="03D62ECE"/>
    <w:lvl w:ilvl="0" w:tentative="0">
      <w:start w:val="1"/>
      <w:numFmt w:val="decimal"/>
      <w:lvlText w:val="（%1）"/>
      <w:lvlJc w:val="left"/>
      <w:pPr>
        <w:ind w:left="1562" w:hanging="80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2274" w:hanging="802"/>
      </w:pPr>
      <w:rPr>
        <w:rFonts w:hint="default"/>
        <w:lang w:val="zh-CN" w:eastAsia="zh-CN" w:bidi="zh-CN"/>
      </w:rPr>
    </w:lvl>
    <w:lvl w:ilvl="2" w:tentative="0">
      <w:start w:val="0"/>
      <w:numFmt w:val="bullet"/>
      <w:lvlText w:val="•"/>
      <w:lvlJc w:val="left"/>
      <w:pPr>
        <w:ind w:left="2989" w:hanging="802"/>
      </w:pPr>
      <w:rPr>
        <w:rFonts w:hint="default"/>
        <w:lang w:val="zh-CN" w:eastAsia="zh-CN" w:bidi="zh-CN"/>
      </w:rPr>
    </w:lvl>
    <w:lvl w:ilvl="3" w:tentative="0">
      <w:start w:val="0"/>
      <w:numFmt w:val="bullet"/>
      <w:lvlText w:val="•"/>
      <w:lvlJc w:val="left"/>
      <w:pPr>
        <w:ind w:left="3703" w:hanging="802"/>
      </w:pPr>
      <w:rPr>
        <w:rFonts w:hint="default"/>
        <w:lang w:val="zh-CN" w:eastAsia="zh-CN" w:bidi="zh-CN"/>
      </w:rPr>
    </w:lvl>
    <w:lvl w:ilvl="4" w:tentative="0">
      <w:start w:val="0"/>
      <w:numFmt w:val="bullet"/>
      <w:lvlText w:val="•"/>
      <w:lvlJc w:val="left"/>
      <w:pPr>
        <w:ind w:left="4418" w:hanging="802"/>
      </w:pPr>
      <w:rPr>
        <w:rFonts w:hint="default"/>
        <w:lang w:val="zh-CN" w:eastAsia="zh-CN" w:bidi="zh-CN"/>
      </w:rPr>
    </w:lvl>
    <w:lvl w:ilvl="5" w:tentative="0">
      <w:start w:val="0"/>
      <w:numFmt w:val="bullet"/>
      <w:lvlText w:val="•"/>
      <w:lvlJc w:val="left"/>
      <w:pPr>
        <w:ind w:left="5133" w:hanging="802"/>
      </w:pPr>
      <w:rPr>
        <w:rFonts w:hint="default"/>
        <w:lang w:val="zh-CN" w:eastAsia="zh-CN" w:bidi="zh-CN"/>
      </w:rPr>
    </w:lvl>
    <w:lvl w:ilvl="6" w:tentative="0">
      <w:start w:val="0"/>
      <w:numFmt w:val="bullet"/>
      <w:lvlText w:val="•"/>
      <w:lvlJc w:val="left"/>
      <w:pPr>
        <w:ind w:left="5847" w:hanging="802"/>
      </w:pPr>
      <w:rPr>
        <w:rFonts w:hint="default"/>
        <w:lang w:val="zh-CN" w:eastAsia="zh-CN" w:bidi="zh-CN"/>
      </w:rPr>
    </w:lvl>
    <w:lvl w:ilvl="7" w:tentative="0">
      <w:start w:val="0"/>
      <w:numFmt w:val="bullet"/>
      <w:lvlText w:val="•"/>
      <w:lvlJc w:val="left"/>
      <w:pPr>
        <w:ind w:left="6562" w:hanging="802"/>
      </w:pPr>
      <w:rPr>
        <w:rFonts w:hint="default"/>
        <w:lang w:val="zh-CN" w:eastAsia="zh-CN" w:bidi="zh-CN"/>
      </w:rPr>
    </w:lvl>
    <w:lvl w:ilvl="8" w:tentative="0">
      <w:start w:val="0"/>
      <w:numFmt w:val="bullet"/>
      <w:lvlText w:val="•"/>
      <w:lvlJc w:val="left"/>
      <w:pPr>
        <w:ind w:left="7277" w:hanging="802"/>
      </w:pPr>
      <w:rPr>
        <w:rFonts w:hint="default"/>
        <w:lang w:val="zh-CN" w:eastAsia="zh-CN" w:bidi="zh-CN"/>
      </w:rPr>
    </w:lvl>
  </w:abstractNum>
  <w:abstractNum w:abstractNumId="11">
    <w:nsid w:val="2470EC97"/>
    <w:multiLevelType w:val="multilevel"/>
    <w:tmpl w:val="2470EC97"/>
    <w:lvl w:ilvl="0" w:tentative="0">
      <w:start w:val="1"/>
      <w:numFmt w:val="decimal"/>
      <w:lvlText w:val="（%1）"/>
      <w:lvlJc w:val="left"/>
      <w:pPr>
        <w:ind w:left="708"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081" w:hanging="601"/>
      </w:pPr>
      <w:rPr>
        <w:rFonts w:hint="default"/>
        <w:lang w:val="zh-CN" w:eastAsia="zh-CN" w:bidi="zh-CN"/>
      </w:rPr>
    </w:lvl>
    <w:lvl w:ilvl="2" w:tentative="0">
      <w:start w:val="0"/>
      <w:numFmt w:val="bullet"/>
      <w:lvlText w:val="•"/>
      <w:lvlJc w:val="left"/>
      <w:pPr>
        <w:ind w:left="1462" w:hanging="601"/>
      </w:pPr>
      <w:rPr>
        <w:rFonts w:hint="default"/>
        <w:lang w:val="zh-CN" w:eastAsia="zh-CN" w:bidi="zh-CN"/>
      </w:rPr>
    </w:lvl>
    <w:lvl w:ilvl="3" w:tentative="0">
      <w:start w:val="0"/>
      <w:numFmt w:val="bullet"/>
      <w:lvlText w:val="•"/>
      <w:lvlJc w:val="left"/>
      <w:pPr>
        <w:ind w:left="1844" w:hanging="601"/>
      </w:pPr>
      <w:rPr>
        <w:rFonts w:hint="default"/>
        <w:lang w:val="zh-CN" w:eastAsia="zh-CN" w:bidi="zh-CN"/>
      </w:rPr>
    </w:lvl>
    <w:lvl w:ilvl="4" w:tentative="0">
      <w:start w:val="0"/>
      <w:numFmt w:val="bullet"/>
      <w:lvlText w:val="•"/>
      <w:lvlJc w:val="left"/>
      <w:pPr>
        <w:ind w:left="2225" w:hanging="601"/>
      </w:pPr>
      <w:rPr>
        <w:rFonts w:hint="default"/>
        <w:lang w:val="zh-CN" w:eastAsia="zh-CN" w:bidi="zh-CN"/>
      </w:rPr>
    </w:lvl>
    <w:lvl w:ilvl="5" w:tentative="0">
      <w:start w:val="0"/>
      <w:numFmt w:val="bullet"/>
      <w:lvlText w:val="•"/>
      <w:lvlJc w:val="left"/>
      <w:pPr>
        <w:ind w:left="2607" w:hanging="601"/>
      </w:pPr>
      <w:rPr>
        <w:rFonts w:hint="default"/>
        <w:lang w:val="zh-CN" w:eastAsia="zh-CN" w:bidi="zh-CN"/>
      </w:rPr>
    </w:lvl>
    <w:lvl w:ilvl="6" w:tentative="0">
      <w:start w:val="0"/>
      <w:numFmt w:val="bullet"/>
      <w:lvlText w:val="•"/>
      <w:lvlJc w:val="left"/>
      <w:pPr>
        <w:ind w:left="2988" w:hanging="601"/>
      </w:pPr>
      <w:rPr>
        <w:rFonts w:hint="default"/>
        <w:lang w:val="zh-CN" w:eastAsia="zh-CN" w:bidi="zh-CN"/>
      </w:rPr>
    </w:lvl>
    <w:lvl w:ilvl="7" w:tentative="0">
      <w:start w:val="0"/>
      <w:numFmt w:val="bullet"/>
      <w:lvlText w:val="•"/>
      <w:lvlJc w:val="left"/>
      <w:pPr>
        <w:ind w:left="3369" w:hanging="601"/>
      </w:pPr>
      <w:rPr>
        <w:rFonts w:hint="default"/>
        <w:lang w:val="zh-CN" w:eastAsia="zh-CN" w:bidi="zh-CN"/>
      </w:rPr>
    </w:lvl>
    <w:lvl w:ilvl="8" w:tentative="0">
      <w:start w:val="0"/>
      <w:numFmt w:val="bullet"/>
      <w:lvlText w:val="•"/>
      <w:lvlJc w:val="left"/>
      <w:pPr>
        <w:ind w:left="3751" w:hanging="601"/>
      </w:pPr>
      <w:rPr>
        <w:rFonts w:hint="default"/>
        <w:lang w:val="zh-CN" w:eastAsia="zh-CN" w:bidi="zh-CN"/>
      </w:rPr>
    </w:lvl>
  </w:abstractNum>
  <w:abstractNum w:abstractNumId="12">
    <w:nsid w:val="25B654F3"/>
    <w:multiLevelType w:val="multilevel"/>
    <w:tmpl w:val="25B654F3"/>
    <w:lvl w:ilvl="0" w:tentative="0">
      <w:start w:val="1"/>
      <w:numFmt w:val="decimal"/>
      <w:lvlText w:val="%1."/>
      <w:lvlJc w:val="left"/>
      <w:pPr>
        <w:ind w:left="1082"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1842" w:hanging="322"/>
      </w:pPr>
      <w:rPr>
        <w:rFonts w:hint="default"/>
        <w:lang w:val="zh-CN" w:eastAsia="zh-CN" w:bidi="zh-CN"/>
      </w:rPr>
    </w:lvl>
    <w:lvl w:ilvl="2" w:tentative="0">
      <w:start w:val="0"/>
      <w:numFmt w:val="bullet"/>
      <w:lvlText w:val="•"/>
      <w:lvlJc w:val="left"/>
      <w:pPr>
        <w:ind w:left="2605" w:hanging="322"/>
      </w:pPr>
      <w:rPr>
        <w:rFonts w:hint="default"/>
        <w:lang w:val="zh-CN" w:eastAsia="zh-CN" w:bidi="zh-CN"/>
      </w:rPr>
    </w:lvl>
    <w:lvl w:ilvl="3" w:tentative="0">
      <w:start w:val="0"/>
      <w:numFmt w:val="bullet"/>
      <w:lvlText w:val="•"/>
      <w:lvlJc w:val="left"/>
      <w:pPr>
        <w:ind w:left="3367" w:hanging="322"/>
      </w:pPr>
      <w:rPr>
        <w:rFonts w:hint="default"/>
        <w:lang w:val="zh-CN" w:eastAsia="zh-CN" w:bidi="zh-CN"/>
      </w:rPr>
    </w:lvl>
    <w:lvl w:ilvl="4" w:tentative="0">
      <w:start w:val="0"/>
      <w:numFmt w:val="bullet"/>
      <w:lvlText w:val="•"/>
      <w:lvlJc w:val="left"/>
      <w:pPr>
        <w:ind w:left="4130" w:hanging="322"/>
      </w:pPr>
      <w:rPr>
        <w:rFonts w:hint="default"/>
        <w:lang w:val="zh-CN" w:eastAsia="zh-CN" w:bidi="zh-CN"/>
      </w:rPr>
    </w:lvl>
    <w:lvl w:ilvl="5" w:tentative="0">
      <w:start w:val="0"/>
      <w:numFmt w:val="bullet"/>
      <w:lvlText w:val="•"/>
      <w:lvlJc w:val="left"/>
      <w:pPr>
        <w:ind w:left="4893" w:hanging="322"/>
      </w:pPr>
      <w:rPr>
        <w:rFonts w:hint="default"/>
        <w:lang w:val="zh-CN" w:eastAsia="zh-CN" w:bidi="zh-CN"/>
      </w:rPr>
    </w:lvl>
    <w:lvl w:ilvl="6" w:tentative="0">
      <w:start w:val="0"/>
      <w:numFmt w:val="bullet"/>
      <w:lvlText w:val="•"/>
      <w:lvlJc w:val="left"/>
      <w:pPr>
        <w:ind w:left="5655" w:hanging="322"/>
      </w:pPr>
      <w:rPr>
        <w:rFonts w:hint="default"/>
        <w:lang w:val="zh-CN" w:eastAsia="zh-CN" w:bidi="zh-CN"/>
      </w:rPr>
    </w:lvl>
    <w:lvl w:ilvl="7" w:tentative="0">
      <w:start w:val="0"/>
      <w:numFmt w:val="bullet"/>
      <w:lvlText w:val="•"/>
      <w:lvlJc w:val="left"/>
      <w:pPr>
        <w:ind w:left="6418" w:hanging="322"/>
      </w:pPr>
      <w:rPr>
        <w:rFonts w:hint="default"/>
        <w:lang w:val="zh-CN" w:eastAsia="zh-CN" w:bidi="zh-CN"/>
      </w:rPr>
    </w:lvl>
    <w:lvl w:ilvl="8" w:tentative="0">
      <w:start w:val="0"/>
      <w:numFmt w:val="bullet"/>
      <w:lvlText w:val="•"/>
      <w:lvlJc w:val="left"/>
      <w:pPr>
        <w:ind w:left="7181" w:hanging="322"/>
      </w:pPr>
      <w:rPr>
        <w:rFonts w:hint="default"/>
        <w:lang w:val="zh-CN" w:eastAsia="zh-CN" w:bidi="zh-CN"/>
      </w:rPr>
    </w:lvl>
  </w:abstractNum>
  <w:abstractNum w:abstractNumId="13">
    <w:nsid w:val="2A8F537B"/>
    <w:multiLevelType w:val="multilevel"/>
    <w:tmpl w:val="2A8F537B"/>
    <w:lvl w:ilvl="0" w:tentative="0">
      <w:start w:val="1"/>
      <w:numFmt w:val="decimal"/>
      <w:lvlText w:val="%1."/>
      <w:lvlJc w:val="left"/>
      <w:pPr>
        <w:ind w:left="107" w:hanging="241"/>
        <w:jc w:val="left"/>
      </w:pPr>
      <w:rPr>
        <w:rFonts w:hint="default" w:ascii="仿宋" w:hAnsi="仿宋" w:eastAsia="仿宋" w:cs="仿宋"/>
        <w:spacing w:val="-16"/>
        <w:w w:val="100"/>
        <w:sz w:val="22"/>
        <w:szCs w:val="22"/>
        <w:lang w:val="zh-CN" w:eastAsia="zh-CN" w:bidi="zh-CN"/>
      </w:rPr>
    </w:lvl>
    <w:lvl w:ilvl="1" w:tentative="0">
      <w:start w:val="0"/>
      <w:numFmt w:val="bullet"/>
      <w:lvlText w:val="•"/>
      <w:lvlJc w:val="left"/>
      <w:pPr>
        <w:ind w:left="541" w:hanging="241"/>
      </w:pPr>
      <w:rPr>
        <w:rFonts w:hint="default"/>
        <w:lang w:val="zh-CN" w:eastAsia="zh-CN" w:bidi="zh-CN"/>
      </w:rPr>
    </w:lvl>
    <w:lvl w:ilvl="2" w:tentative="0">
      <w:start w:val="0"/>
      <w:numFmt w:val="bullet"/>
      <w:lvlText w:val="•"/>
      <w:lvlJc w:val="left"/>
      <w:pPr>
        <w:ind w:left="982" w:hanging="241"/>
      </w:pPr>
      <w:rPr>
        <w:rFonts w:hint="default"/>
        <w:lang w:val="zh-CN" w:eastAsia="zh-CN" w:bidi="zh-CN"/>
      </w:rPr>
    </w:lvl>
    <w:lvl w:ilvl="3" w:tentative="0">
      <w:start w:val="0"/>
      <w:numFmt w:val="bullet"/>
      <w:lvlText w:val="•"/>
      <w:lvlJc w:val="left"/>
      <w:pPr>
        <w:ind w:left="1424" w:hanging="241"/>
      </w:pPr>
      <w:rPr>
        <w:rFonts w:hint="default"/>
        <w:lang w:val="zh-CN" w:eastAsia="zh-CN" w:bidi="zh-CN"/>
      </w:rPr>
    </w:lvl>
    <w:lvl w:ilvl="4" w:tentative="0">
      <w:start w:val="0"/>
      <w:numFmt w:val="bullet"/>
      <w:lvlText w:val="•"/>
      <w:lvlJc w:val="left"/>
      <w:pPr>
        <w:ind w:left="1865" w:hanging="241"/>
      </w:pPr>
      <w:rPr>
        <w:rFonts w:hint="default"/>
        <w:lang w:val="zh-CN" w:eastAsia="zh-CN" w:bidi="zh-CN"/>
      </w:rPr>
    </w:lvl>
    <w:lvl w:ilvl="5" w:tentative="0">
      <w:start w:val="0"/>
      <w:numFmt w:val="bullet"/>
      <w:lvlText w:val="•"/>
      <w:lvlJc w:val="left"/>
      <w:pPr>
        <w:ind w:left="2307" w:hanging="241"/>
      </w:pPr>
      <w:rPr>
        <w:rFonts w:hint="default"/>
        <w:lang w:val="zh-CN" w:eastAsia="zh-CN" w:bidi="zh-CN"/>
      </w:rPr>
    </w:lvl>
    <w:lvl w:ilvl="6" w:tentative="0">
      <w:start w:val="0"/>
      <w:numFmt w:val="bullet"/>
      <w:lvlText w:val="•"/>
      <w:lvlJc w:val="left"/>
      <w:pPr>
        <w:ind w:left="2748" w:hanging="241"/>
      </w:pPr>
      <w:rPr>
        <w:rFonts w:hint="default"/>
        <w:lang w:val="zh-CN" w:eastAsia="zh-CN" w:bidi="zh-CN"/>
      </w:rPr>
    </w:lvl>
    <w:lvl w:ilvl="7" w:tentative="0">
      <w:start w:val="0"/>
      <w:numFmt w:val="bullet"/>
      <w:lvlText w:val="•"/>
      <w:lvlJc w:val="left"/>
      <w:pPr>
        <w:ind w:left="3189" w:hanging="241"/>
      </w:pPr>
      <w:rPr>
        <w:rFonts w:hint="default"/>
        <w:lang w:val="zh-CN" w:eastAsia="zh-CN" w:bidi="zh-CN"/>
      </w:rPr>
    </w:lvl>
    <w:lvl w:ilvl="8" w:tentative="0">
      <w:start w:val="0"/>
      <w:numFmt w:val="bullet"/>
      <w:lvlText w:val="•"/>
      <w:lvlJc w:val="left"/>
      <w:pPr>
        <w:ind w:left="3631" w:hanging="241"/>
      </w:pPr>
      <w:rPr>
        <w:rFonts w:hint="default"/>
        <w:lang w:val="zh-CN" w:eastAsia="zh-CN" w:bidi="zh-CN"/>
      </w:rPr>
    </w:lvl>
  </w:abstractNum>
  <w:abstractNum w:abstractNumId="14">
    <w:nsid w:val="4D4DC07F"/>
    <w:multiLevelType w:val="multilevel"/>
    <w:tmpl w:val="4D4DC07F"/>
    <w:lvl w:ilvl="0" w:tentative="0">
      <w:start w:val="1"/>
      <w:numFmt w:val="decimal"/>
      <w:lvlText w:val="%1."/>
      <w:lvlJc w:val="left"/>
      <w:pPr>
        <w:ind w:left="107" w:hanging="241"/>
        <w:jc w:val="left"/>
      </w:pPr>
      <w:rPr>
        <w:rFonts w:hint="default" w:ascii="仿宋" w:hAnsi="仿宋" w:eastAsia="仿宋" w:cs="仿宋"/>
        <w:spacing w:val="-16"/>
        <w:w w:val="100"/>
        <w:sz w:val="22"/>
        <w:szCs w:val="22"/>
        <w:lang w:val="zh-CN" w:eastAsia="zh-CN" w:bidi="zh-CN"/>
      </w:rPr>
    </w:lvl>
    <w:lvl w:ilvl="1" w:tentative="0">
      <w:start w:val="0"/>
      <w:numFmt w:val="bullet"/>
      <w:lvlText w:val="•"/>
      <w:lvlJc w:val="left"/>
      <w:pPr>
        <w:ind w:left="541" w:hanging="241"/>
      </w:pPr>
      <w:rPr>
        <w:rFonts w:hint="default"/>
        <w:lang w:val="zh-CN" w:eastAsia="zh-CN" w:bidi="zh-CN"/>
      </w:rPr>
    </w:lvl>
    <w:lvl w:ilvl="2" w:tentative="0">
      <w:start w:val="0"/>
      <w:numFmt w:val="bullet"/>
      <w:lvlText w:val="•"/>
      <w:lvlJc w:val="left"/>
      <w:pPr>
        <w:ind w:left="982" w:hanging="241"/>
      </w:pPr>
      <w:rPr>
        <w:rFonts w:hint="default"/>
        <w:lang w:val="zh-CN" w:eastAsia="zh-CN" w:bidi="zh-CN"/>
      </w:rPr>
    </w:lvl>
    <w:lvl w:ilvl="3" w:tentative="0">
      <w:start w:val="0"/>
      <w:numFmt w:val="bullet"/>
      <w:lvlText w:val="•"/>
      <w:lvlJc w:val="left"/>
      <w:pPr>
        <w:ind w:left="1424" w:hanging="241"/>
      </w:pPr>
      <w:rPr>
        <w:rFonts w:hint="default"/>
        <w:lang w:val="zh-CN" w:eastAsia="zh-CN" w:bidi="zh-CN"/>
      </w:rPr>
    </w:lvl>
    <w:lvl w:ilvl="4" w:tentative="0">
      <w:start w:val="0"/>
      <w:numFmt w:val="bullet"/>
      <w:lvlText w:val="•"/>
      <w:lvlJc w:val="left"/>
      <w:pPr>
        <w:ind w:left="1865" w:hanging="241"/>
      </w:pPr>
      <w:rPr>
        <w:rFonts w:hint="default"/>
        <w:lang w:val="zh-CN" w:eastAsia="zh-CN" w:bidi="zh-CN"/>
      </w:rPr>
    </w:lvl>
    <w:lvl w:ilvl="5" w:tentative="0">
      <w:start w:val="0"/>
      <w:numFmt w:val="bullet"/>
      <w:lvlText w:val="•"/>
      <w:lvlJc w:val="left"/>
      <w:pPr>
        <w:ind w:left="2307" w:hanging="241"/>
      </w:pPr>
      <w:rPr>
        <w:rFonts w:hint="default"/>
        <w:lang w:val="zh-CN" w:eastAsia="zh-CN" w:bidi="zh-CN"/>
      </w:rPr>
    </w:lvl>
    <w:lvl w:ilvl="6" w:tentative="0">
      <w:start w:val="0"/>
      <w:numFmt w:val="bullet"/>
      <w:lvlText w:val="•"/>
      <w:lvlJc w:val="left"/>
      <w:pPr>
        <w:ind w:left="2748" w:hanging="241"/>
      </w:pPr>
      <w:rPr>
        <w:rFonts w:hint="default"/>
        <w:lang w:val="zh-CN" w:eastAsia="zh-CN" w:bidi="zh-CN"/>
      </w:rPr>
    </w:lvl>
    <w:lvl w:ilvl="7" w:tentative="0">
      <w:start w:val="0"/>
      <w:numFmt w:val="bullet"/>
      <w:lvlText w:val="•"/>
      <w:lvlJc w:val="left"/>
      <w:pPr>
        <w:ind w:left="3189" w:hanging="241"/>
      </w:pPr>
      <w:rPr>
        <w:rFonts w:hint="default"/>
        <w:lang w:val="zh-CN" w:eastAsia="zh-CN" w:bidi="zh-CN"/>
      </w:rPr>
    </w:lvl>
    <w:lvl w:ilvl="8" w:tentative="0">
      <w:start w:val="0"/>
      <w:numFmt w:val="bullet"/>
      <w:lvlText w:val="•"/>
      <w:lvlJc w:val="left"/>
      <w:pPr>
        <w:ind w:left="3631" w:hanging="241"/>
      </w:pPr>
      <w:rPr>
        <w:rFonts w:hint="default"/>
        <w:lang w:val="zh-CN" w:eastAsia="zh-CN" w:bidi="zh-CN"/>
      </w:rPr>
    </w:lvl>
  </w:abstractNum>
  <w:abstractNum w:abstractNumId="15">
    <w:nsid w:val="59ADCABA"/>
    <w:multiLevelType w:val="multilevel"/>
    <w:tmpl w:val="59ADCABA"/>
    <w:lvl w:ilvl="0" w:tentative="0">
      <w:start w:val="1"/>
      <w:numFmt w:val="decimal"/>
      <w:lvlText w:val="（%1）"/>
      <w:lvlJc w:val="left"/>
      <w:pPr>
        <w:ind w:left="120" w:hanging="819"/>
        <w:jc w:val="left"/>
      </w:pPr>
      <w:rPr>
        <w:rFonts w:hint="default" w:ascii="仿宋" w:hAnsi="仿宋" w:eastAsia="仿宋" w:cs="仿宋"/>
        <w:spacing w:val="-8"/>
        <w:w w:val="99"/>
        <w:sz w:val="30"/>
        <w:szCs w:val="30"/>
        <w:lang w:val="zh-CN" w:eastAsia="zh-CN" w:bidi="zh-CN"/>
      </w:rPr>
    </w:lvl>
    <w:lvl w:ilvl="1" w:tentative="0">
      <w:start w:val="0"/>
      <w:numFmt w:val="bullet"/>
      <w:lvlText w:val="•"/>
      <w:lvlJc w:val="left"/>
      <w:pPr>
        <w:ind w:left="978" w:hanging="819"/>
      </w:pPr>
      <w:rPr>
        <w:rFonts w:hint="default"/>
        <w:lang w:val="zh-CN" w:eastAsia="zh-CN" w:bidi="zh-CN"/>
      </w:rPr>
    </w:lvl>
    <w:lvl w:ilvl="2" w:tentative="0">
      <w:start w:val="0"/>
      <w:numFmt w:val="bullet"/>
      <w:lvlText w:val="•"/>
      <w:lvlJc w:val="left"/>
      <w:pPr>
        <w:ind w:left="1837" w:hanging="819"/>
      </w:pPr>
      <w:rPr>
        <w:rFonts w:hint="default"/>
        <w:lang w:val="zh-CN" w:eastAsia="zh-CN" w:bidi="zh-CN"/>
      </w:rPr>
    </w:lvl>
    <w:lvl w:ilvl="3" w:tentative="0">
      <w:start w:val="0"/>
      <w:numFmt w:val="bullet"/>
      <w:lvlText w:val="•"/>
      <w:lvlJc w:val="left"/>
      <w:pPr>
        <w:ind w:left="2695" w:hanging="819"/>
      </w:pPr>
      <w:rPr>
        <w:rFonts w:hint="default"/>
        <w:lang w:val="zh-CN" w:eastAsia="zh-CN" w:bidi="zh-CN"/>
      </w:rPr>
    </w:lvl>
    <w:lvl w:ilvl="4" w:tentative="0">
      <w:start w:val="0"/>
      <w:numFmt w:val="bullet"/>
      <w:lvlText w:val="•"/>
      <w:lvlJc w:val="left"/>
      <w:pPr>
        <w:ind w:left="3554" w:hanging="819"/>
      </w:pPr>
      <w:rPr>
        <w:rFonts w:hint="default"/>
        <w:lang w:val="zh-CN" w:eastAsia="zh-CN" w:bidi="zh-CN"/>
      </w:rPr>
    </w:lvl>
    <w:lvl w:ilvl="5" w:tentative="0">
      <w:start w:val="0"/>
      <w:numFmt w:val="bullet"/>
      <w:lvlText w:val="•"/>
      <w:lvlJc w:val="left"/>
      <w:pPr>
        <w:ind w:left="4413" w:hanging="819"/>
      </w:pPr>
      <w:rPr>
        <w:rFonts w:hint="default"/>
        <w:lang w:val="zh-CN" w:eastAsia="zh-CN" w:bidi="zh-CN"/>
      </w:rPr>
    </w:lvl>
    <w:lvl w:ilvl="6" w:tentative="0">
      <w:start w:val="0"/>
      <w:numFmt w:val="bullet"/>
      <w:lvlText w:val="•"/>
      <w:lvlJc w:val="left"/>
      <w:pPr>
        <w:ind w:left="5271" w:hanging="819"/>
      </w:pPr>
      <w:rPr>
        <w:rFonts w:hint="default"/>
        <w:lang w:val="zh-CN" w:eastAsia="zh-CN" w:bidi="zh-CN"/>
      </w:rPr>
    </w:lvl>
    <w:lvl w:ilvl="7" w:tentative="0">
      <w:start w:val="0"/>
      <w:numFmt w:val="bullet"/>
      <w:lvlText w:val="•"/>
      <w:lvlJc w:val="left"/>
      <w:pPr>
        <w:ind w:left="6130" w:hanging="819"/>
      </w:pPr>
      <w:rPr>
        <w:rFonts w:hint="default"/>
        <w:lang w:val="zh-CN" w:eastAsia="zh-CN" w:bidi="zh-CN"/>
      </w:rPr>
    </w:lvl>
    <w:lvl w:ilvl="8" w:tentative="0">
      <w:start w:val="0"/>
      <w:numFmt w:val="bullet"/>
      <w:lvlText w:val="•"/>
      <w:lvlJc w:val="left"/>
      <w:pPr>
        <w:ind w:left="6989" w:hanging="819"/>
      </w:pPr>
      <w:rPr>
        <w:rFonts w:hint="default"/>
        <w:lang w:val="zh-CN" w:eastAsia="zh-CN" w:bidi="zh-CN"/>
      </w:rPr>
    </w:lvl>
  </w:abstractNum>
  <w:abstractNum w:abstractNumId="16">
    <w:nsid w:val="5A241D34"/>
    <w:multiLevelType w:val="multilevel"/>
    <w:tmpl w:val="5A241D34"/>
    <w:lvl w:ilvl="0" w:tentative="0">
      <w:start w:val="1"/>
      <w:numFmt w:val="decimal"/>
      <w:lvlText w:val="%1."/>
      <w:lvlJc w:val="left"/>
      <w:pPr>
        <w:ind w:left="107" w:hanging="241"/>
        <w:jc w:val="left"/>
      </w:pPr>
      <w:rPr>
        <w:rFonts w:hint="default" w:ascii="仿宋" w:hAnsi="仿宋" w:eastAsia="仿宋" w:cs="仿宋"/>
        <w:spacing w:val="-18"/>
        <w:w w:val="100"/>
        <w:sz w:val="22"/>
        <w:szCs w:val="22"/>
        <w:lang w:val="zh-CN" w:eastAsia="zh-CN" w:bidi="zh-CN"/>
      </w:rPr>
    </w:lvl>
    <w:lvl w:ilvl="1" w:tentative="0">
      <w:start w:val="0"/>
      <w:numFmt w:val="bullet"/>
      <w:lvlText w:val="•"/>
      <w:lvlJc w:val="left"/>
      <w:pPr>
        <w:ind w:left="541" w:hanging="241"/>
      </w:pPr>
      <w:rPr>
        <w:rFonts w:hint="default"/>
        <w:lang w:val="zh-CN" w:eastAsia="zh-CN" w:bidi="zh-CN"/>
      </w:rPr>
    </w:lvl>
    <w:lvl w:ilvl="2" w:tentative="0">
      <w:start w:val="0"/>
      <w:numFmt w:val="bullet"/>
      <w:lvlText w:val="•"/>
      <w:lvlJc w:val="left"/>
      <w:pPr>
        <w:ind w:left="982" w:hanging="241"/>
      </w:pPr>
      <w:rPr>
        <w:rFonts w:hint="default"/>
        <w:lang w:val="zh-CN" w:eastAsia="zh-CN" w:bidi="zh-CN"/>
      </w:rPr>
    </w:lvl>
    <w:lvl w:ilvl="3" w:tentative="0">
      <w:start w:val="0"/>
      <w:numFmt w:val="bullet"/>
      <w:lvlText w:val="•"/>
      <w:lvlJc w:val="left"/>
      <w:pPr>
        <w:ind w:left="1424" w:hanging="241"/>
      </w:pPr>
      <w:rPr>
        <w:rFonts w:hint="default"/>
        <w:lang w:val="zh-CN" w:eastAsia="zh-CN" w:bidi="zh-CN"/>
      </w:rPr>
    </w:lvl>
    <w:lvl w:ilvl="4" w:tentative="0">
      <w:start w:val="0"/>
      <w:numFmt w:val="bullet"/>
      <w:lvlText w:val="•"/>
      <w:lvlJc w:val="left"/>
      <w:pPr>
        <w:ind w:left="1865" w:hanging="241"/>
      </w:pPr>
      <w:rPr>
        <w:rFonts w:hint="default"/>
        <w:lang w:val="zh-CN" w:eastAsia="zh-CN" w:bidi="zh-CN"/>
      </w:rPr>
    </w:lvl>
    <w:lvl w:ilvl="5" w:tentative="0">
      <w:start w:val="0"/>
      <w:numFmt w:val="bullet"/>
      <w:lvlText w:val="•"/>
      <w:lvlJc w:val="left"/>
      <w:pPr>
        <w:ind w:left="2307" w:hanging="241"/>
      </w:pPr>
      <w:rPr>
        <w:rFonts w:hint="default"/>
        <w:lang w:val="zh-CN" w:eastAsia="zh-CN" w:bidi="zh-CN"/>
      </w:rPr>
    </w:lvl>
    <w:lvl w:ilvl="6" w:tentative="0">
      <w:start w:val="0"/>
      <w:numFmt w:val="bullet"/>
      <w:lvlText w:val="•"/>
      <w:lvlJc w:val="left"/>
      <w:pPr>
        <w:ind w:left="2748" w:hanging="241"/>
      </w:pPr>
      <w:rPr>
        <w:rFonts w:hint="default"/>
        <w:lang w:val="zh-CN" w:eastAsia="zh-CN" w:bidi="zh-CN"/>
      </w:rPr>
    </w:lvl>
    <w:lvl w:ilvl="7" w:tentative="0">
      <w:start w:val="0"/>
      <w:numFmt w:val="bullet"/>
      <w:lvlText w:val="•"/>
      <w:lvlJc w:val="left"/>
      <w:pPr>
        <w:ind w:left="3189" w:hanging="241"/>
      </w:pPr>
      <w:rPr>
        <w:rFonts w:hint="default"/>
        <w:lang w:val="zh-CN" w:eastAsia="zh-CN" w:bidi="zh-CN"/>
      </w:rPr>
    </w:lvl>
    <w:lvl w:ilvl="8" w:tentative="0">
      <w:start w:val="0"/>
      <w:numFmt w:val="bullet"/>
      <w:lvlText w:val="•"/>
      <w:lvlJc w:val="left"/>
      <w:pPr>
        <w:ind w:left="3631" w:hanging="241"/>
      </w:pPr>
      <w:rPr>
        <w:rFonts w:hint="default"/>
        <w:lang w:val="zh-CN" w:eastAsia="zh-CN" w:bidi="zh-CN"/>
      </w:rPr>
    </w:lvl>
  </w:abstractNum>
  <w:abstractNum w:abstractNumId="17">
    <w:nsid w:val="72183CF9"/>
    <w:multiLevelType w:val="multilevel"/>
    <w:tmpl w:val="72183CF9"/>
    <w:lvl w:ilvl="0" w:tentative="0">
      <w:start w:val="1"/>
      <w:numFmt w:val="decimal"/>
      <w:lvlText w:val="%1."/>
      <w:lvlJc w:val="left"/>
      <w:pPr>
        <w:ind w:left="1084" w:hanging="322"/>
        <w:jc w:val="left"/>
      </w:pPr>
      <w:rPr>
        <w:rFonts w:hint="default" w:ascii="仿宋" w:hAnsi="仿宋" w:eastAsia="仿宋" w:cs="仿宋"/>
        <w:b/>
        <w:bCs/>
        <w:spacing w:val="1"/>
        <w:w w:val="98"/>
        <w:sz w:val="30"/>
        <w:szCs w:val="30"/>
        <w:lang w:val="zh-CN" w:eastAsia="zh-CN" w:bidi="zh-CN"/>
      </w:rPr>
    </w:lvl>
    <w:lvl w:ilvl="1" w:tentative="0">
      <w:start w:val="0"/>
      <w:numFmt w:val="bullet"/>
      <w:lvlText w:val="•"/>
      <w:lvlJc w:val="left"/>
      <w:pPr>
        <w:ind w:left="3840" w:hanging="322"/>
      </w:pPr>
      <w:rPr>
        <w:rFonts w:hint="default"/>
        <w:lang w:val="zh-CN" w:eastAsia="zh-CN" w:bidi="zh-CN"/>
      </w:rPr>
    </w:lvl>
    <w:lvl w:ilvl="2" w:tentative="0">
      <w:start w:val="0"/>
      <w:numFmt w:val="bullet"/>
      <w:lvlText w:val="•"/>
      <w:lvlJc w:val="left"/>
      <w:pPr>
        <w:ind w:left="4380" w:hanging="322"/>
      </w:pPr>
      <w:rPr>
        <w:rFonts w:hint="default"/>
        <w:lang w:val="zh-CN" w:eastAsia="zh-CN" w:bidi="zh-CN"/>
      </w:rPr>
    </w:lvl>
    <w:lvl w:ilvl="3" w:tentative="0">
      <w:start w:val="0"/>
      <w:numFmt w:val="bullet"/>
      <w:lvlText w:val="•"/>
      <w:lvlJc w:val="left"/>
      <w:pPr>
        <w:ind w:left="4921" w:hanging="322"/>
      </w:pPr>
      <w:rPr>
        <w:rFonts w:hint="default"/>
        <w:lang w:val="zh-CN" w:eastAsia="zh-CN" w:bidi="zh-CN"/>
      </w:rPr>
    </w:lvl>
    <w:lvl w:ilvl="4" w:tentative="0">
      <w:start w:val="0"/>
      <w:numFmt w:val="bullet"/>
      <w:lvlText w:val="•"/>
      <w:lvlJc w:val="left"/>
      <w:pPr>
        <w:ind w:left="5462" w:hanging="322"/>
      </w:pPr>
      <w:rPr>
        <w:rFonts w:hint="default"/>
        <w:lang w:val="zh-CN" w:eastAsia="zh-CN" w:bidi="zh-CN"/>
      </w:rPr>
    </w:lvl>
    <w:lvl w:ilvl="5" w:tentative="0">
      <w:start w:val="0"/>
      <w:numFmt w:val="bullet"/>
      <w:lvlText w:val="•"/>
      <w:lvlJc w:val="left"/>
      <w:pPr>
        <w:ind w:left="6002" w:hanging="322"/>
      </w:pPr>
      <w:rPr>
        <w:rFonts w:hint="default"/>
        <w:lang w:val="zh-CN" w:eastAsia="zh-CN" w:bidi="zh-CN"/>
      </w:rPr>
    </w:lvl>
    <w:lvl w:ilvl="6" w:tentative="0">
      <w:start w:val="0"/>
      <w:numFmt w:val="bullet"/>
      <w:lvlText w:val="•"/>
      <w:lvlJc w:val="left"/>
      <w:pPr>
        <w:ind w:left="6543" w:hanging="322"/>
      </w:pPr>
      <w:rPr>
        <w:rFonts w:hint="default"/>
        <w:lang w:val="zh-CN" w:eastAsia="zh-CN" w:bidi="zh-CN"/>
      </w:rPr>
    </w:lvl>
    <w:lvl w:ilvl="7" w:tentative="0">
      <w:start w:val="0"/>
      <w:numFmt w:val="bullet"/>
      <w:lvlText w:val="•"/>
      <w:lvlJc w:val="left"/>
      <w:pPr>
        <w:ind w:left="7084" w:hanging="322"/>
      </w:pPr>
      <w:rPr>
        <w:rFonts w:hint="default"/>
        <w:lang w:val="zh-CN" w:eastAsia="zh-CN" w:bidi="zh-CN"/>
      </w:rPr>
    </w:lvl>
    <w:lvl w:ilvl="8" w:tentative="0">
      <w:start w:val="0"/>
      <w:numFmt w:val="bullet"/>
      <w:lvlText w:val="•"/>
      <w:lvlJc w:val="left"/>
      <w:pPr>
        <w:ind w:left="7624" w:hanging="322"/>
      </w:pPr>
      <w:rPr>
        <w:rFonts w:hint="default"/>
        <w:lang w:val="zh-CN" w:eastAsia="zh-CN" w:bidi="zh-CN"/>
      </w:rPr>
    </w:lvl>
  </w:abstractNum>
  <w:num w:numId="1">
    <w:abstractNumId w:val="8"/>
  </w:num>
  <w:num w:numId="2">
    <w:abstractNumId w:val="4"/>
  </w:num>
  <w:num w:numId="3">
    <w:abstractNumId w:val="15"/>
  </w:num>
  <w:num w:numId="4">
    <w:abstractNumId w:val="2"/>
  </w:num>
  <w:num w:numId="5">
    <w:abstractNumId w:val="1"/>
  </w:num>
  <w:num w:numId="6">
    <w:abstractNumId w:val="10"/>
  </w:num>
  <w:num w:numId="7">
    <w:abstractNumId w:val="12"/>
  </w:num>
  <w:num w:numId="8">
    <w:abstractNumId w:val="17"/>
  </w:num>
  <w:num w:numId="9">
    <w:abstractNumId w:val="9"/>
  </w:num>
  <w:num w:numId="10">
    <w:abstractNumId w:val="0"/>
  </w:num>
  <w:num w:numId="11">
    <w:abstractNumId w:val="13"/>
  </w:num>
  <w:num w:numId="12">
    <w:abstractNumId w:val="16"/>
  </w:num>
  <w:num w:numId="13">
    <w:abstractNumId w:val="3"/>
  </w:num>
  <w:num w:numId="14">
    <w:abstractNumId w:val="14"/>
  </w:num>
  <w:num w:numId="15">
    <w:abstractNumId w:val="7"/>
  </w:num>
  <w:num w:numId="16">
    <w:abstractNumId w:val="11"/>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98329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84" w:right="245"/>
      <w:jc w:val="center"/>
      <w:outlineLvl w:val="1"/>
    </w:pPr>
    <w:rPr>
      <w:rFonts w:ascii="黑体" w:hAnsi="黑体" w:eastAsia="黑体" w:cs="黑体"/>
      <w:sz w:val="44"/>
      <w:szCs w:val="44"/>
      <w:lang w:val="zh-CN" w:eastAsia="zh-CN" w:bidi="zh-CN"/>
    </w:rPr>
  </w:style>
  <w:style w:type="paragraph" w:styleId="3">
    <w:name w:val="heading 2"/>
    <w:basedOn w:val="1"/>
    <w:next w:val="1"/>
    <w:qFormat/>
    <w:uiPriority w:val="1"/>
    <w:pPr>
      <w:ind w:left="763"/>
      <w:outlineLvl w:val="2"/>
    </w:pPr>
    <w:rPr>
      <w:rFonts w:ascii="仿宋" w:hAnsi="仿宋" w:eastAsia="仿宋" w:cs="仿宋"/>
      <w:b/>
      <w:bCs/>
      <w:sz w:val="32"/>
      <w:szCs w:val="32"/>
      <w:lang w:val="zh-CN" w:eastAsia="zh-CN" w:bidi="zh-CN"/>
    </w:rPr>
  </w:style>
  <w:style w:type="character" w:default="1" w:styleId="5">
    <w:name w:val="Default Paragraph Font"/>
    <w:semiHidden/>
    <w:unhideWhenUsed/>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32"/>
      <w:szCs w:val="32"/>
      <w:lang w:val="zh-CN" w:eastAsia="zh-CN" w:bidi="zh-CN"/>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ind w:left="120" w:firstLine="640"/>
    </w:pPr>
    <w:rPr>
      <w:rFonts w:ascii="仿宋" w:hAnsi="仿宋" w:eastAsia="仿宋" w:cs="仿宋"/>
      <w:lang w:val="zh-CN" w:eastAsia="zh-CN" w:bidi="zh-CN"/>
    </w:rPr>
  </w:style>
  <w:style w:type="paragraph" w:customStyle="1" w:styleId="9">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2052"/>
    <customShpInfo spid="_x0000_s2051"/>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2019-01-05T01:39:00Z</dcterms:created>
  <dc:creator>万劼</dc:creator>
  <cp:lastModifiedBy>瀟瀟</cp:lastModifiedBy>
  <dcterms:modified xsi:type="dcterms:W3CDTF">2019-01-05T01:41:07Z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2018-12-29T00:00:00Z</vt:filetime>
  </property>
  <property fmtid="{D5CDD505-2E9C-101B-9397-08002B2CF9AE}" pid="3" name="Creator">
    <vt:lpwstr>Acrobat PDFMaker 15 Word 版</vt:lpwstr>
  </property>
  <property fmtid="{D5CDD505-2E9C-101B-9397-08002B2CF9AE}" pid="4" name="LastSaved">
    <vt:filetime>2019-01-05T00:00:00Z</vt:filetime>
  </property>
  <property fmtid="{D5CDD505-2E9C-101B-9397-08002B2CF9AE}" pid="5" name="KSOProductBuildVer">
    <vt:lpwstr>2052-11.1.0.8214</vt:lpwstr>
  </property>
</Properties>
</file>