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xml" ContentType="application/vnd.openxmlformats-officedocument.drawingml.chart+xml"/>
  <Override PartName="/word/charts/chart40.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charts/chart45.xml" ContentType="application/vnd.openxmlformats-officedocument.drawingml.chart+xml"/>
  <Override PartName="/word/charts/chart46.xml" ContentType="application/vnd.openxmlformats-officedocument.drawingml.chart+xml"/>
  <Override PartName="/word/charts/chart47.xml" ContentType="application/vnd.openxmlformats-officedocument.drawingml.chart+xml"/>
  <Override PartName="/word/charts/chart48.xml" ContentType="application/vnd.openxmlformats-officedocument.drawingml.chart+xml"/>
  <Override PartName="/word/charts/chart49.xml" ContentType="application/vnd.openxmlformats-officedocument.drawingml.chart+xml"/>
  <Override PartName="/word/charts/chart5.xml" ContentType="application/vnd.openxmlformats-officedocument.drawingml.chart+xml"/>
  <Override PartName="/word/charts/chart50.xml" ContentType="application/vnd.openxmlformats-officedocument.drawingml.chart+xml"/>
  <Override PartName="/word/charts/chart51.xml" ContentType="application/vnd.openxmlformats-officedocument.drawingml.chart+xml"/>
  <Override PartName="/word/charts/chart52.xml" ContentType="application/vnd.openxmlformats-officedocument.drawingml.chart+xml"/>
  <Override PartName="/word/charts/chart53.xml" ContentType="application/vnd.openxmlformats-officedocument.drawingml.chart+xml"/>
  <Override PartName="/word/charts/chart54.xml" ContentType="application/vnd.openxmlformats-officedocument.drawingml.chart+xml"/>
  <Override PartName="/word/charts/chart55.xml" ContentType="application/vnd.openxmlformats-officedocument.drawingml.chart+xml"/>
  <Override PartName="/word/charts/chart56.xml" ContentType="application/vnd.openxmlformats-officedocument.drawingml.chart+xml"/>
  <Override PartName="/word/charts/chart57.xml" ContentType="application/vnd.openxmlformats-officedocument.drawingml.chart+xml"/>
  <Override PartName="/word/charts/chart58.xml" ContentType="application/vnd.openxmlformats-officedocument.drawingml.chart+xml"/>
  <Override PartName="/word/charts/chart59.xml" ContentType="application/vnd.openxmlformats-officedocument.drawingml.chart+xml"/>
  <Override PartName="/word/charts/chart6.xml" ContentType="application/vnd.openxmlformats-officedocument.drawingml.chart+xml"/>
  <Override PartName="/word/charts/chart60.xml" ContentType="application/vnd.openxmlformats-officedocument.drawingml.chart+xml"/>
  <Override PartName="/word/charts/chart61.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10.xml" ContentType="application/vnd.ms-office.chartcolorstyle+xml"/>
  <Override PartName="/word/charts/colors11.xml" ContentType="application/vnd.ms-office.chartcolorstyle+xml"/>
  <Override PartName="/word/charts/colors12.xml" ContentType="application/vnd.ms-office.chartcolorstyle+xml"/>
  <Override PartName="/word/charts/colors13.xml" ContentType="application/vnd.ms-office.chartcolorstyle+xml"/>
  <Override PartName="/word/charts/colors14.xml" ContentType="application/vnd.ms-office.chartcolorstyle+xml"/>
  <Override PartName="/word/charts/colors15.xml" ContentType="application/vnd.ms-office.chartcolorstyle+xml"/>
  <Override PartName="/word/charts/colors16.xml" ContentType="application/vnd.ms-office.chartcolorstyle+xml"/>
  <Override PartName="/word/charts/colors17.xml" ContentType="application/vnd.ms-office.chartcolorstyle+xml"/>
  <Override PartName="/word/charts/colors18.xml" ContentType="application/vnd.ms-office.chartcolorstyle+xml"/>
  <Override PartName="/word/charts/colors19.xml" ContentType="application/vnd.ms-office.chartcolorstyle+xml"/>
  <Override PartName="/word/charts/colors2.xml" ContentType="application/vnd.ms-office.chartcolorstyle+xml"/>
  <Override PartName="/word/charts/colors20.xml" ContentType="application/vnd.ms-office.chartcolorstyle+xml"/>
  <Override PartName="/word/charts/colors21.xml" ContentType="application/vnd.ms-office.chartcolorstyle+xml"/>
  <Override PartName="/word/charts/colors22.xml" ContentType="application/vnd.ms-office.chartcolorstyle+xml"/>
  <Override PartName="/word/charts/colors23.xml" ContentType="application/vnd.ms-office.chartcolorstyle+xml"/>
  <Override PartName="/word/charts/colors24.xml" ContentType="application/vnd.ms-office.chartcolorstyle+xml"/>
  <Override PartName="/word/charts/colors25.xml" ContentType="application/vnd.ms-office.chartcolorstyle+xml"/>
  <Override PartName="/word/charts/colors26.xml" ContentType="application/vnd.ms-office.chartcolorstyle+xml"/>
  <Override PartName="/word/charts/colors27.xml" ContentType="application/vnd.ms-office.chartcolorstyle+xml"/>
  <Override PartName="/word/charts/colors28.xml" ContentType="application/vnd.ms-office.chartcolorstyle+xml"/>
  <Override PartName="/word/charts/colors29.xml" ContentType="application/vnd.ms-office.chartcolorstyle+xml"/>
  <Override PartName="/word/charts/colors3.xml" ContentType="application/vnd.ms-office.chartcolorstyle+xml"/>
  <Override PartName="/word/charts/colors30.xml" ContentType="application/vnd.ms-office.chartcolorstyle+xml"/>
  <Override PartName="/word/charts/colors31.xml" ContentType="application/vnd.ms-office.chartcolorstyle+xml"/>
  <Override PartName="/word/charts/colors32.xml" ContentType="application/vnd.ms-office.chartcolorstyle+xml"/>
  <Override PartName="/word/charts/colors33.xml" ContentType="application/vnd.ms-office.chartcolorstyle+xml"/>
  <Override PartName="/word/charts/colors34.xml" ContentType="application/vnd.ms-office.chartcolorstyle+xml"/>
  <Override PartName="/word/charts/colors35.xml" ContentType="application/vnd.ms-office.chartcolorstyle+xml"/>
  <Override PartName="/word/charts/colors36.xml" ContentType="application/vnd.ms-office.chartcolorstyle+xml"/>
  <Override PartName="/word/charts/colors37.xml" ContentType="application/vnd.ms-office.chartcolorstyle+xml"/>
  <Override PartName="/word/charts/colors38.xml" ContentType="application/vnd.ms-office.chartcolorstyle+xml"/>
  <Override PartName="/word/charts/colors39.xml" ContentType="application/vnd.ms-office.chartcolorstyle+xml"/>
  <Override PartName="/word/charts/colors4.xml" ContentType="application/vnd.ms-office.chartcolorstyle+xml"/>
  <Override PartName="/word/charts/colors40.xml" ContentType="application/vnd.ms-office.chartcolorstyle+xml"/>
  <Override PartName="/word/charts/colors41.xml" ContentType="application/vnd.ms-office.chartcolorstyle+xml"/>
  <Override PartName="/word/charts/colors42.xml" ContentType="application/vnd.ms-office.chartcolorstyle+xml"/>
  <Override PartName="/word/charts/colors43.xml" ContentType="application/vnd.ms-office.chartcolorstyle+xml"/>
  <Override PartName="/word/charts/colors44.xml" ContentType="application/vnd.ms-office.chartcolorstyle+xml"/>
  <Override PartName="/word/charts/colors45.xml" ContentType="application/vnd.ms-office.chartcolorstyle+xml"/>
  <Override PartName="/word/charts/colors46.xml" ContentType="application/vnd.ms-office.chartcolorstyle+xml"/>
  <Override PartName="/word/charts/colors47.xml" ContentType="application/vnd.ms-office.chartcolorstyle+xml"/>
  <Override PartName="/word/charts/colors48.xml" ContentType="application/vnd.ms-office.chartcolorstyle+xml"/>
  <Override PartName="/word/charts/colors49.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10.xml" ContentType="application/vnd.ms-office.chartstyle+xml"/>
  <Override PartName="/word/charts/style11.xml" ContentType="application/vnd.ms-office.chartstyle+xml"/>
  <Override PartName="/word/charts/style12.xml" ContentType="application/vnd.ms-office.chartstyle+xml"/>
  <Override PartName="/word/charts/style13.xml" ContentType="application/vnd.ms-office.chartstyle+xml"/>
  <Override PartName="/word/charts/style14.xml" ContentType="application/vnd.ms-office.chartstyle+xml"/>
  <Override PartName="/word/charts/style15.xml" ContentType="application/vnd.ms-office.chartstyle+xml"/>
  <Override PartName="/word/charts/style16.xml" ContentType="application/vnd.ms-office.chartstyle+xml"/>
  <Override PartName="/word/charts/style17.xml" ContentType="application/vnd.ms-office.chartstyle+xml"/>
  <Override PartName="/word/charts/style18.xml" ContentType="application/vnd.ms-office.chartstyle+xml"/>
  <Override PartName="/word/charts/style19.xml" ContentType="application/vnd.ms-office.chartstyle+xml"/>
  <Override PartName="/word/charts/style2.xml" ContentType="application/vnd.ms-office.chartstyle+xml"/>
  <Override PartName="/word/charts/style20.xml" ContentType="application/vnd.ms-office.chartstyle+xml"/>
  <Override PartName="/word/charts/style21.xml" ContentType="application/vnd.ms-office.chartstyle+xml"/>
  <Override PartName="/word/charts/style22.xml" ContentType="application/vnd.ms-office.chartstyle+xml"/>
  <Override PartName="/word/charts/style23.xml" ContentType="application/vnd.ms-office.chartstyle+xml"/>
  <Override PartName="/word/charts/style24.xml" ContentType="application/vnd.ms-office.chartstyle+xml"/>
  <Override PartName="/word/charts/style25.xml" ContentType="application/vnd.ms-office.chartstyle+xml"/>
  <Override PartName="/word/charts/style26.xml" ContentType="application/vnd.ms-office.chartstyle+xml"/>
  <Override PartName="/word/charts/style27.xml" ContentType="application/vnd.ms-office.chartstyle+xml"/>
  <Override PartName="/word/charts/style28.xml" ContentType="application/vnd.ms-office.chartstyle+xml"/>
  <Override PartName="/word/charts/style29.xml" ContentType="application/vnd.ms-office.chartstyle+xml"/>
  <Override PartName="/word/charts/style3.xml" ContentType="application/vnd.ms-office.chartstyle+xml"/>
  <Override PartName="/word/charts/style30.xml" ContentType="application/vnd.ms-office.chartstyle+xml"/>
  <Override PartName="/word/charts/style31.xml" ContentType="application/vnd.ms-office.chartstyle+xml"/>
  <Override PartName="/word/charts/style32.xml" ContentType="application/vnd.ms-office.chartstyle+xml"/>
  <Override PartName="/word/charts/style33.xml" ContentType="application/vnd.ms-office.chartstyle+xml"/>
  <Override PartName="/word/charts/style34.xml" ContentType="application/vnd.ms-office.chartstyle+xml"/>
  <Override PartName="/word/charts/style35.xml" ContentType="application/vnd.ms-office.chartstyle+xml"/>
  <Override PartName="/word/charts/style36.xml" ContentType="application/vnd.ms-office.chartstyle+xml"/>
  <Override PartName="/word/charts/style37.xml" ContentType="application/vnd.ms-office.chartstyle+xml"/>
  <Override PartName="/word/charts/style38.xml" ContentType="application/vnd.ms-office.chartstyle+xml"/>
  <Override PartName="/word/charts/style39.xml" ContentType="application/vnd.ms-office.chartstyle+xml"/>
  <Override PartName="/word/charts/style4.xml" ContentType="application/vnd.ms-office.chartstyle+xml"/>
  <Override PartName="/word/charts/style40.xml" ContentType="application/vnd.ms-office.chartstyle+xml"/>
  <Override PartName="/word/charts/style41.xml" ContentType="application/vnd.ms-office.chartstyle+xml"/>
  <Override PartName="/word/charts/style42.xml" ContentType="application/vnd.ms-office.chartstyle+xml"/>
  <Override PartName="/word/charts/style43.xml" ContentType="application/vnd.ms-office.chartstyle+xml"/>
  <Override PartName="/word/charts/style44.xml" ContentType="application/vnd.ms-office.chartstyle+xml"/>
  <Override PartName="/word/charts/style45.xml" ContentType="application/vnd.ms-office.chartstyle+xml"/>
  <Override PartName="/word/charts/style46.xml" ContentType="application/vnd.ms-office.chartstyle+xml"/>
  <Override PartName="/word/charts/style47.xml" ContentType="application/vnd.ms-office.chartstyle+xml"/>
  <Override PartName="/word/charts/style48.xml" ContentType="application/vnd.ms-office.chartstyle+xml"/>
  <Override PartName="/word/charts/style49.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6"/>
          <w:lang w:val="ru-RU"/>
        </w:rPr>
      </w:pPr>
    </w:p>
    <w:p>
      <w:pPr>
        <w:jc w:val="center"/>
        <w:rPr>
          <w:sz w:val="36"/>
          <w:szCs w:val="36"/>
          <w:lang w:val="ru-RU"/>
        </w:rPr>
      </w:pPr>
      <w:r>
        <w:rPr>
          <w:rFonts w:hint="eastAsia" w:ascii="仿宋_GB2312" w:eastAsia="仿宋_GB2312"/>
          <w:b/>
          <w:sz w:val="28"/>
          <w:szCs w:val="28"/>
        </w:rPr>
        <w:drawing>
          <wp:inline distT="0" distB="0" distL="0" distR="0">
            <wp:extent cx="1518920" cy="1555750"/>
            <wp:effectExtent l="19050" t="0" r="4761" b="0"/>
            <wp:docPr id="26" name="图片 1" descr="1-150Z91K303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 descr="1-150Z91K303628"/>
                    <pic:cNvPicPr>
                      <a:picLocks noChangeAspect="1" noChangeArrowheads="1"/>
                    </pic:cNvPicPr>
                  </pic:nvPicPr>
                  <pic:blipFill>
                    <a:blip r:embed="rId6" cstate="print"/>
                    <a:srcRect/>
                    <a:stretch>
                      <a:fillRect/>
                    </a:stretch>
                  </pic:blipFill>
                  <pic:spPr>
                    <a:xfrm>
                      <a:off x="0" y="0"/>
                      <a:ext cx="1531546" cy="1568898"/>
                    </a:xfrm>
                    <a:prstGeom prst="rect">
                      <a:avLst/>
                    </a:prstGeom>
                    <a:noFill/>
                    <a:ln w="9525">
                      <a:noFill/>
                      <a:miter lim="800000"/>
                      <a:headEnd/>
                      <a:tailEnd/>
                    </a:ln>
                  </pic:spPr>
                </pic:pic>
              </a:graphicData>
            </a:graphic>
          </wp:inline>
        </w:drawing>
      </w:r>
    </w:p>
    <w:p>
      <w:pPr>
        <w:jc w:val="center"/>
        <w:rPr>
          <w:sz w:val="36"/>
          <w:szCs w:val="36"/>
          <w:lang w:val="ru-RU"/>
        </w:rPr>
      </w:pPr>
    </w:p>
    <w:p>
      <w:pPr>
        <w:jc w:val="center"/>
        <w:rPr>
          <w:rFonts w:ascii="黑体" w:eastAsia="黑体"/>
          <w:spacing w:val="160"/>
          <w:sz w:val="44"/>
          <w:szCs w:val="44"/>
        </w:rPr>
      </w:pPr>
      <w:r>
        <w:rPr>
          <w:rFonts w:hint="eastAsia" w:ascii="黑体" w:eastAsia="黑体"/>
          <w:spacing w:val="160"/>
          <w:sz w:val="44"/>
          <w:szCs w:val="44"/>
        </w:rPr>
        <w:t>邵阳职业技术学院</w:t>
      </w:r>
    </w:p>
    <w:p>
      <w:pPr>
        <w:jc w:val="center"/>
        <w:rPr>
          <w:rFonts w:ascii="黑体" w:eastAsia="黑体"/>
          <w:sz w:val="44"/>
          <w:szCs w:val="44"/>
        </w:rPr>
      </w:pPr>
    </w:p>
    <w:p>
      <w:pPr>
        <w:snapToGrid w:val="0"/>
        <w:spacing w:line="240" w:lineRule="atLeast"/>
        <w:jc w:val="center"/>
        <w:rPr>
          <w:rFonts w:hint="eastAsia" w:ascii="黑体" w:eastAsia="黑体"/>
          <w:sz w:val="48"/>
          <w:szCs w:val="48"/>
        </w:rPr>
      </w:pPr>
      <w:r>
        <w:rPr>
          <w:rFonts w:hint="eastAsia" w:ascii="黑体" w:eastAsia="黑体"/>
          <w:sz w:val="48"/>
          <w:szCs w:val="48"/>
        </w:rPr>
        <w:t>20</w:t>
      </w:r>
      <w:r>
        <w:rPr>
          <w:rFonts w:hint="eastAsia" w:ascii="黑体" w:eastAsia="黑体"/>
          <w:sz w:val="48"/>
          <w:szCs w:val="48"/>
          <w:lang w:val="en-US" w:eastAsia="zh-CN"/>
        </w:rPr>
        <w:t>23</w:t>
      </w:r>
      <w:r>
        <w:rPr>
          <w:rFonts w:hint="eastAsia" w:ascii="黑体" w:eastAsia="黑体"/>
          <w:sz w:val="48"/>
          <w:szCs w:val="48"/>
        </w:rPr>
        <w:t>届毕业生就业质量年度报告</w:t>
      </w:r>
    </w:p>
    <w:p>
      <w:pPr>
        <w:pStyle w:val="6"/>
      </w:pPr>
    </w:p>
    <w:p>
      <w:pPr>
        <w:jc w:val="center"/>
        <w:rPr>
          <w:rFonts w:ascii="仿宋_GB2312" w:eastAsia="仿宋_GB2312"/>
          <w:sz w:val="28"/>
          <w:szCs w:val="28"/>
        </w:rPr>
      </w:pPr>
    </w:p>
    <w:p>
      <w:pPr>
        <w:jc w:val="center"/>
        <w:rPr>
          <w:rFonts w:ascii="仿宋_GB2312" w:eastAsia="仿宋_GB2312"/>
          <w:b/>
          <w:sz w:val="28"/>
          <w:szCs w:val="28"/>
        </w:rPr>
      </w:pPr>
    </w:p>
    <w:p>
      <w:pPr>
        <w:jc w:val="center"/>
        <w:rPr>
          <w:rFonts w:ascii="仿宋_GB2312" w:eastAsia="仿宋_GB2312"/>
          <w:b/>
          <w:sz w:val="28"/>
          <w:szCs w:val="28"/>
        </w:rPr>
      </w:pPr>
    </w:p>
    <w:p>
      <w:pPr>
        <w:jc w:val="center"/>
        <w:rPr>
          <w:rFonts w:ascii="仿宋_GB2312" w:eastAsia="仿宋_GB2312"/>
          <w:b/>
          <w:sz w:val="28"/>
          <w:szCs w:val="28"/>
        </w:rPr>
      </w:pPr>
    </w:p>
    <w:p>
      <w:pPr>
        <w:jc w:val="center"/>
        <w:rPr>
          <w:rFonts w:ascii="仿宋_GB2312" w:eastAsia="仿宋_GB2312"/>
          <w:b/>
          <w:sz w:val="28"/>
          <w:szCs w:val="28"/>
        </w:rPr>
      </w:pPr>
    </w:p>
    <w:p>
      <w:pPr>
        <w:jc w:val="center"/>
        <w:rPr>
          <w:rFonts w:ascii="仿宋_GB2312" w:eastAsia="仿宋_GB2312"/>
          <w:b/>
          <w:sz w:val="28"/>
          <w:szCs w:val="28"/>
        </w:rPr>
      </w:pPr>
    </w:p>
    <w:p>
      <w:pPr>
        <w:jc w:val="center"/>
        <w:rPr>
          <w:rFonts w:ascii="仿宋_GB2312" w:eastAsia="仿宋_GB2312"/>
          <w:b/>
          <w:sz w:val="28"/>
          <w:szCs w:val="28"/>
        </w:rPr>
      </w:pPr>
    </w:p>
    <w:p>
      <w:pPr>
        <w:jc w:val="center"/>
        <w:rPr>
          <w:rFonts w:ascii="仿宋_GB2312" w:eastAsia="仿宋_GB2312"/>
          <w:b/>
          <w:sz w:val="28"/>
          <w:szCs w:val="28"/>
        </w:rPr>
      </w:pPr>
    </w:p>
    <w:p>
      <w:pPr>
        <w:jc w:val="center"/>
        <w:rPr>
          <w:rFonts w:ascii="仿宋_GB2312" w:eastAsia="仿宋_GB2312"/>
          <w:b/>
          <w:sz w:val="28"/>
          <w:szCs w:val="28"/>
        </w:rPr>
      </w:pPr>
      <w:r>
        <w:rPr>
          <w:rFonts w:hint="eastAsia" w:ascii="仿宋_GB2312" w:eastAsia="仿宋_GB2312"/>
          <w:b/>
          <w:sz w:val="28"/>
          <w:szCs w:val="28"/>
        </w:rPr>
        <w:t>二</w:t>
      </w:r>
      <w:r>
        <w:rPr>
          <w:rFonts w:hint="eastAsia" w:ascii="仿宋_GB2312" w:eastAsia="仿宋_GB2312"/>
          <w:b/>
          <w:sz w:val="28"/>
          <w:szCs w:val="28"/>
          <w:lang w:eastAsia="zh-CN"/>
        </w:rPr>
        <w:t>〇</w:t>
      </w:r>
      <w:r>
        <w:rPr>
          <w:rFonts w:hint="eastAsia" w:ascii="仿宋_GB2312" w:eastAsia="仿宋_GB2312"/>
          <w:b/>
          <w:sz w:val="28"/>
          <w:szCs w:val="28"/>
          <w:lang w:val="en-US" w:eastAsia="zh-CN"/>
        </w:rPr>
        <w:t>二三</w:t>
      </w:r>
      <w:r>
        <w:rPr>
          <w:rFonts w:hint="eastAsia" w:ascii="仿宋_GB2312" w:eastAsia="仿宋_GB2312"/>
          <w:b/>
          <w:sz w:val="28"/>
          <w:szCs w:val="28"/>
        </w:rPr>
        <w:t>年十二月</w:t>
      </w:r>
    </w:p>
    <w:p>
      <w:pPr>
        <w:jc w:val="center"/>
        <w:rPr>
          <w:rFonts w:ascii="黑体" w:eastAsia="黑体"/>
          <w:sz w:val="44"/>
          <w:szCs w:val="44"/>
        </w:rPr>
      </w:pPr>
    </w:p>
    <w:p>
      <w:pPr>
        <w:jc w:val="center"/>
        <w:rPr>
          <w:rFonts w:ascii="黑体" w:eastAsia="黑体"/>
          <w:sz w:val="44"/>
          <w:szCs w:val="44"/>
        </w:rPr>
      </w:pPr>
    </w:p>
    <w:p>
      <w:pPr>
        <w:jc w:val="center"/>
        <w:rPr>
          <w:rFonts w:ascii="黑体" w:eastAsia="黑体"/>
          <w:sz w:val="44"/>
          <w:szCs w:val="44"/>
        </w:rPr>
      </w:pPr>
    </w:p>
    <w:p>
      <w:pPr>
        <w:jc w:val="center"/>
        <w:rPr>
          <w:rFonts w:ascii="黑体" w:eastAsia="黑体"/>
          <w:sz w:val="44"/>
          <w:szCs w:val="44"/>
        </w:rPr>
      </w:pPr>
    </w:p>
    <w:p>
      <w:pPr>
        <w:jc w:val="center"/>
        <w:rPr>
          <w:rFonts w:hint="eastAsia" w:asciiTheme="minorEastAsia" w:hAnsiTheme="minorEastAsia" w:eastAsiaTheme="minorEastAsia"/>
          <w:sz w:val="36"/>
          <w:szCs w:val="36"/>
          <w:lang w:val="ru-RU"/>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jc w:val="center"/>
        <w:rPr>
          <w:rFonts w:asciiTheme="minorEastAsia" w:hAnsiTheme="minorEastAsia" w:eastAsiaTheme="minorEastAsia"/>
          <w:sz w:val="36"/>
          <w:szCs w:val="36"/>
          <w:lang w:val="ru-RU"/>
        </w:rPr>
      </w:pPr>
      <w:r>
        <w:rPr>
          <w:rFonts w:hint="eastAsia" w:asciiTheme="minorEastAsia" w:hAnsiTheme="minorEastAsia" w:eastAsiaTheme="minorEastAsia"/>
          <w:sz w:val="36"/>
          <w:szCs w:val="36"/>
          <w:lang w:val="ru-RU"/>
        </w:rPr>
        <w:t>邵阳职业技术学院20</w:t>
      </w:r>
      <w:r>
        <w:rPr>
          <w:rFonts w:hint="eastAsia" w:asciiTheme="minorEastAsia" w:hAnsiTheme="minorEastAsia" w:eastAsiaTheme="minorEastAsia"/>
          <w:sz w:val="36"/>
          <w:szCs w:val="36"/>
          <w:lang w:val="en-US" w:eastAsia="zh-CN"/>
        </w:rPr>
        <w:t>23</w:t>
      </w:r>
      <w:r>
        <w:rPr>
          <w:rFonts w:hint="eastAsia" w:asciiTheme="minorEastAsia" w:hAnsiTheme="minorEastAsia" w:eastAsiaTheme="minorEastAsia"/>
          <w:sz w:val="36"/>
          <w:szCs w:val="36"/>
          <w:lang w:val="ru-RU"/>
        </w:rPr>
        <w:t>届毕业生就业质量年度报告</w:t>
      </w:r>
    </w:p>
    <w:p>
      <w:pPr>
        <w:jc w:val="center"/>
        <w:rPr>
          <w:rFonts w:asciiTheme="minorEastAsia" w:hAnsiTheme="minorEastAsia" w:eastAsiaTheme="minorEastAsia"/>
          <w:sz w:val="36"/>
          <w:szCs w:val="36"/>
          <w:highlight w:val="none"/>
          <w:lang w:val="ru-RU"/>
        </w:rPr>
      </w:pPr>
    </w:p>
    <w:p>
      <w:pPr>
        <w:widowControl/>
        <w:spacing w:line="360" w:lineRule="auto"/>
        <w:ind w:firstLine="560" w:firstLineChars="200"/>
        <w:rPr>
          <w:sz w:val="28"/>
          <w:szCs w:val="28"/>
          <w:highlight w:val="none"/>
          <w:lang w:val="ru-RU"/>
        </w:rPr>
      </w:pPr>
      <w:r>
        <w:rPr>
          <w:rFonts w:hint="eastAsia"/>
          <w:sz w:val="28"/>
          <w:szCs w:val="28"/>
          <w:highlight w:val="none"/>
          <w:lang w:val="ru-RU"/>
        </w:rPr>
        <w:t>为全面系统地反映</w:t>
      </w:r>
      <w:r>
        <w:rPr>
          <w:rFonts w:hint="eastAsia"/>
          <w:sz w:val="28"/>
          <w:szCs w:val="28"/>
          <w:highlight w:val="none"/>
          <w:lang w:val="en-US" w:eastAsia="zh-CN"/>
        </w:rPr>
        <w:t>我校2023</w:t>
      </w:r>
      <w:r>
        <w:rPr>
          <w:rFonts w:hint="eastAsia"/>
          <w:sz w:val="28"/>
          <w:szCs w:val="28"/>
          <w:highlight w:val="none"/>
          <w:lang w:val="ru-RU"/>
        </w:rPr>
        <w:t>届毕业生就业工作实际情况，及时回应社会关切、接受社会监督，根据教育部办公厅《关于编制发布高校毕业生就业质量年度报告的通知》（教学厅函〔</w:t>
      </w:r>
      <w:r>
        <w:rPr>
          <w:sz w:val="28"/>
          <w:szCs w:val="28"/>
          <w:highlight w:val="none"/>
          <w:lang w:val="ru-RU"/>
        </w:rPr>
        <w:t>2013</w:t>
      </w:r>
      <w:r>
        <w:rPr>
          <w:rFonts w:hint="eastAsia"/>
          <w:sz w:val="28"/>
          <w:szCs w:val="28"/>
          <w:highlight w:val="none"/>
          <w:lang w:val="ru-RU"/>
        </w:rPr>
        <w:t>〕</w:t>
      </w:r>
      <w:r>
        <w:rPr>
          <w:sz w:val="28"/>
          <w:szCs w:val="28"/>
          <w:highlight w:val="none"/>
          <w:lang w:val="ru-RU"/>
        </w:rPr>
        <w:t>25</w:t>
      </w:r>
      <w:r>
        <w:rPr>
          <w:rFonts w:hint="eastAsia"/>
          <w:sz w:val="28"/>
          <w:szCs w:val="28"/>
          <w:highlight w:val="none"/>
          <w:lang w:val="ru-RU"/>
        </w:rPr>
        <w:t>号）及《教育部关于做好</w:t>
      </w:r>
      <w:r>
        <w:rPr>
          <w:rFonts w:hint="eastAsia"/>
          <w:sz w:val="28"/>
          <w:szCs w:val="28"/>
          <w:highlight w:val="none"/>
          <w:lang w:val="en-US" w:eastAsia="zh-CN"/>
        </w:rPr>
        <w:t>2023</w:t>
      </w:r>
      <w:r>
        <w:rPr>
          <w:rFonts w:hint="eastAsia"/>
          <w:sz w:val="28"/>
          <w:szCs w:val="28"/>
          <w:highlight w:val="none"/>
          <w:lang w:val="ru-RU"/>
        </w:rPr>
        <w:t>届全国普通高等学校毕业生就业创业工作的通知》（教学〔</w:t>
      </w:r>
      <w:r>
        <w:rPr>
          <w:sz w:val="28"/>
          <w:szCs w:val="28"/>
          <w:highlight w:val="none"/>
          <w:lang w:val="ru-RU"/>
        </w:rPr>
        <w:t>20</w:t>
      </w:r>
      <w:r>
        <w:rPr>
          <w:rFonts w:hint="eastAsia"/>
          <w:sz w:val="28"/>
          <w:szCs w:val="28"/>
          <w:highlight w:val="none"/>
          <w:lang w:val="en-US" w:eastAsia="zh-CN"/>
        </w:rPr>
        <w:t>23</w:t>
      </w:r>
      <w:r>
        <w:rPr>
          <w:rFonts w:hint="eastAsia"/>
          <w:sz w:val="28"/>
          <w:szCs w:val="28"/>
          <w:highlight w:val="none"/>
          <w:lang w:val="ru-RU"/>
        </w:rPr>
        <w:t>〕</w:t>
      </w:r>
      <w:r>
        <w:rPr>
          <w:rFonts w:hint="eastAsia"/>
          <w:sz w:val="28"/>
          <w:szCs w:val="28"/>
          <w:highlight w:val="none"/>
          <w:lang w:val="en-US" w:eastAsia="zh-CN"/>
        </w:rPr>
        <w:t>5</w:t>
      </w:r>
      <w:r>
        <w:rPr>
          <w:rFonts w:hint="eastAsia"/>
          <w:sz w:val="28"/>
          <w:szCs w:val="28"/>
          <w:highlight w:val="none"/>
          <w:lang w:val="ru-RU"/>
        </w:rPr>
        <w:t>号）文件要求，编写《邵阳职业技术学院</w:t>
      </w:r>
      <w:r>
        <w:rPr>
          <w:rFonts w:hint="eastAsia"/>
          <w:sz w:val="28"/>
          <w:szCs w:val="28"/>
          <w:highlight w:val="none"/>
          <w:lang w:val="en-US" w:eastAsia="zh-CN"/>
        </w:rPr>
        <w:t>2023届</w:t>
      </w:r>
      <w:r>
        <w:rPr>
          <w:rFonts w:hint="eastAsia"/>
          <w:sz w:val="28"/>
          <w:szCs w:val="28"/>
          <w:highlight w:val="none"/>
          <w:lang w:val="ru-RU"/>
        </w:rPr>
        <w:t>毕业生就业质量</w:t>
      </w:r>
      <w:r>
        <w:rPr>
          <w:rFonts w:hint="eastAsia"/>
          <w:sz w:val="28"/>
          <w:szCs w:val="28"/>
          <w:highlight w:val="none"/>
          <w:lang w:val="en-US" w:eastAsia="zh-CN"/>
        </w:rPr>
        <w:t>年度</w:t>
      </w:r>
      <w:r>
        <w:rPr>
          <w:rFonts w:hint="eastAsia"/>
          <w:sz w:val="28"/>
          <w:szCs w:val="28"/>
          <w:highlight w:val="none"/>
          <w:lang w:val="ru-RU"/>
        </w:rPr>
        <w:t>报告》。</w:t>
      </w:r>
    </w:p>
    <w:p>
      <w:pPr>
        <w:widowControl/>
        <w:spacing w:line="360" w:lineRule="auto"/>
        <w:ind w:firstLine="560" w:firstLineChars="200"/>
        <w:rPr>
          <w:sz w:val="28"/>
          <w:szCs w:val="28"/>
          <w:highlight w:val="none"/>
          <w:lang w:val="ru-RU"/>
        </w:rPr>
      </w:pPr>
      <w:r>
        <w:rPr>
          <w:rFonts w:hint="eastAsia"/>
          <w:sz w:val="28"/>
          <w:szCs w:val="28"/>
          <w:highlight w:val="none"/>
          <w:lang w:val="ru-RU"/>
        </w:rPr>
        <w:t>本报告以</w:t>
      </w:r>
      <w:r>
        <w:rPr>
          <w:rFonts w:hint="eastAsia"/>
          <w:sz w:val="28"/>
          <w:szCs w:val="28"/>
          <w:highlight w:val="none"/>
          <w:lang w:val="en-US" w:eastAsia="zh-CN"/>
        </w:rPr>
        <w:t>我校2023</w:t>
      </w:r>
      <w:r>
        <w:rPr>
          <w:rFonts w:hint="eastAsia"/>
          <w:sz w:val="28"/>
          <w:szCs w:val="28"/>
          <w:highlight w:val="none"/>
          <w:lang w:val="ru-RU"/>
        </w:rPr>
        <w:t>届毕业生就业调研数据为依据，从毕业生就业数量、质量、过程三方面，对学生</w:t>
      </w:r>
      <w:r>
        <w:rPr>
          <w:rFonts w:hint="eastAsia"/>
          <w:sz w:val="28"/>
          <w:szCs w:val="28"/>
          <w:highlight w:val="none"/>
          <w:lang w:val="en-US" w:eastAsia="zh-CN"/>
        </w:rPr>
        <w:t>毕业去向落实</w:t>
      </w:r>
      <w:r>
        <w:rPr>
          <w:rFonts w:hint="eastAsia"/>
          <w:sz w:val="28"/>
          <w:szCs w:val="28"/>
          <w:highlight w:val="none"/>
          <w:lang w:val="ru-RU"/>
        </w:rPr>
        <w:t>率、就业形式、行业分布、区域分布、市场需求等方面进行了调研分析，对毕业生就业满意度、专业相关度、就业稳定性及用人单位评价进行了总结分析，并从就业视角对学校教育教学给出了反馈和建议。</w:t>
      </w:r>
    </w:p>
    <w:p>
      <w:pPr>
        <w:jc w:val="center"/>
        <w:rPr>
          <w:rFonts w:hint="eastAsia" w:ascii="黑体" w:eastAsia="黑体"/>
          <w:sz w:val="44"/>
          <w:szCs w:val="44"/>
        </w:rPr>
      </w:pPr>
    </w:p>
    <w:p>
      <w:pPr>
        <w:jc w:val="center"/>
        <w:rPr>
          <w:rFonts w:hint="eastAsia" w:ascii="黑体" w:eastAsia="黑体"/>
          <w:sz w:val="44"/>
          <w:szCs w:val="44"/>
        </w:rPr>
      </w:pPr>
    </w:p>
    <w:p>
      <w:pPr>
        <w:jc w:val="center"/>
        <w:rPr>
          <w:rFonts w:hint="eastAsia" w:ascii="黑体" w:eastAsia="黑体"/>
          <w:sz w:val="44"/>
          <w:szCs w:val="44"/>
        </w:rPr>
      </w:pPr>
    </w:p>
    <w:p>
      <w:pPr>
        <w:jc w:val="center"/>
        <w:rPr>
          <w:rFonts w:hint="eastAsia" w:ascii="黑体" w:eastAsia="黑体"/>
          <w:sz w:val="44"/>
          <w:szCs w:val="44"/>
        </w:rPr>
      </w:pPr>
    </w:p>
    <w:p>
      <w:pPr>
        <w:jc w:val="center"/>
        <w:rPr>
          <w:rFonts w:hint="eastAsia" w:ascii="黑体" w:eastAsia="黑体"/>
          <w:sz w:val="44"/>
          <w:szCs w:val="44"/>
        </w:rPr>
      </w:pPr>
    </w:p>
    <w:p>
      <w:pPr>
        <w:jc w:val="center"/>
        <w:rPr>
          <w:rFonts w:hint="eastAsia" w:ascii="黑体" w:eastAsia="黑体"/>
          <w:sz w:val="44"/>
          <w:szCs w:val="44"/>
        </w:rPr>
      </w:pPr>
    </w:p>
    <w:p>
      <w:pPr>
        <w:jc w:val="center"/>
        <w:rPr>
          <w:rFonts w:hint="eastAsia" w:ascii="黑体" w:eastAsia="黑体"/>
          <w:sz w:val="44"/>
          <w:szCs w:val="44"/>
        </w:rPr>
      </w:pPr>
    </w:p>
    <w:p>
      <w:pPr>
        <w:jc w:val="center"/>
        <w:rPr>
          <w:rFonts w:hint="eastAsia" w:ascii="黑体" w:eastAsia="黑体"/>
          <w:sz w:val="44"/>
          <w:szCs w:val="44"/>
        </w:rPr>
      </w:pPr>
    </w:p>
    <w:p>
      <w:pPr>
        <w:jc w:val="both"/>
        <w:rPr>
          <w:rFonts w:hint="eastAsia" w:ascii="黑体" w:eastAsia="黑体"/>
          <w:sz w:val="44"/>
          <w:szCs w:val="44"/>
        </w:rPr>
      </w:pPr>
    </w:p>
    <w:p>
      <w:pPr>
        <w:jc w:val="center"/>
        <w:rPr>
          <w:rFonts w:ascii="黑体" w:eastAsia="黑体"/>
          <w:sz w:val="44"/>
          <w:szCs w:val="44"/>
        </w:rPr>
      </w:pPr>
      <w:r>
        <w:rPr>
          <w:rFonts w:hint="eastAsia" w:ascii="黑体" w:eastAsia="黑体"/>
          <w:sz w:val="44"/>
          <w:szCs w:val="44"/>
        </w:rPr>
        <w:t>目   录</w:t>
      </w:r>
    </w:p>
    <w:p>
      <w:pPr>
        <w:rPr>
          <w:rFonts w:ascii="仿宋_GB2312" w:eastAsia="仿宋_GB2312"/>
          <w:b/>
          <w:sz w:val="28"/>
          <w:szCs w:val="28"/>
          <w:highlight w:val="none"/>
        </w:rPr>
      </w:pPr>
    </w:p>
    <w:p>
      <w:pPr>
        <w:rPr>
          <w:rFonts w:hint="eastAsia" w:ascii="仿宋_GB2312" w:eastAsia="仿宋_GB2312"/>
          <w:b/>
          <w:sz w:val="28"/>
          <w:szCs w:val="28"/>
          <w:highlight w:val="none"/>
          <w:lang w:eastAsia="zh-CN"/>
        </w:rPr>
      </w:pPr>
      <w:r>
        <w:rPr>
          <w:rFonts w:hint="eastAsia" w:ascii="仿宋_GB2312" w:eastAsia="仿宋_GB2312"/>
          <w:b/>
          <w:sz w:val="28"/>
          <w:szCs w:val="28"/>
          <w:highlight w:val="none"/>
        </w:rPr>
        <w:t>学</w:t>
      </w:r>
      <w:r>
        <w:rPr>
          <w:rFonts w:hint="eastAsia" w:ascii="仿宋_GB2312" w:eastAsia="仿宋_GB2312"/>
          <w:b/>
          <w:sz w:val="28"/>
          <w:szCs w:val="28"/>
          <w:highlight w:val="none"/>
          <w:lang w:val="en-US" w:eastAsia="zh-CN"/>
        </w:rPr>
        <w:t>校概况</w:t>
      </w:r>
    </w:p>
    <w:p>
      <w:pPr>
        <w:rPr>
          <w:rFonts w:hint="default" w:ascii="仿宋_GB2312" w:eastAsia="仿宋_GB2312"/>
          <w:b/>
          <w:sz w:val="28"/>
          <w:szCs w:val="28"/>
          <w:highlight w:val="none"/>
          <w:lang w:val="en-US" w:eastAsia="zh-CN"/>
        </w:rPr>
      </w:pPr>
      <w:r>
        <w:rPr>
          <w:rFonts w:hint="eastAsia" w:ascii="仿宋_GB2312" w:eastAsia="仿宋_GB2312"/>
          <w:b/>
          <w:sz w:val="28"/>
          <w:szCs w:val="28"/>
          <w:highlight w:val="none"/>
          <w:lang w:val="en-US" w:eastAsia="zh-CN"/>
        </w:rPr>
        <w:t>第一章 毕业生生源及毕业去向</w:t>
      </w:r>
    </w:p>
    <w:p>
      <w:pPr>
        <w:rPr>
          <w:rFonts w:ascii="仿宋_GB2312" w:eastAsia="仿宋_GB2312"/>
          <w:b w:val="0"/>
          <w:bCs/>
          <w:sz w:val="28"/>
          <w:szCs w:val="28"/>
          <w:highlight w:val="none"/>
        </w:rPr>
      </w:pPr>
      <w:r>
        <w:rPr>
          <w:rFonts w:hint="eastAsia" w:ascii="仿宋_GB2312" w:eastAsia="仿宋_GB2312"/>
          <w:b w:val="0"/>
          <w:bCs/>
          <w:sz w:val="28"/>
          <w:szCs w:val="28"/>
          <w:highlight w:val="none"/>
        </w:rPr>
        <w:t xml:space="preserve">一、 </w:t>
      </w:r>
      <w:r>
        <w:rPr>
          <w:rFonts w:ascii="仿宋_GB2312" w:eastAsia="仿宋_GB2312"/>
          <w:b w:val="0"/>
          <w:bCs/>
          <w:sz w:val="28"/>
          <w:szCs w:val="28"/>
          <w:highlight w:val="none"/>
          <w:lang w:val="ru-RU"/>
        </w:rPr>
        <w:t>毕业生规模</w:t>
      </w:r>
      <w:r>
        <w:rPr>
          <w:rFonts w:hint="eastAsia" w:ascii="仿宋_GB2312" w:eastAsia="仿宋_GB2312"/>
          <w:b w:val="0"/>
          <w:bCs/>
          <w:sz w:val="28"/>
          <w:szCs w:val="28"/>
          <w:highlight w:val="none"/>
          <w:lang w:val="en-US" w:eastAsia="zh-CN"/>
        </w:rPr>
        <w:t>及</w:t>
      </w:r>
      <w:r>
        <w:rPr>
          <w:rFonts w:ascii="仿宋_GB2312" w:eastAsia="仿宋_GB2312"/>
          <w:b w:val="0"/>
          <w:bCs/>
          <w:sz w:val="28"/>
          <w:szCs w:val="28"/>
          <w:highlight w:val="none"/>
          <w:lang w:val="ru-RU"/>
        </w:rPr>
        <w:t>结构</w:t>
      </w:r>
    </w:p>
    <w:p>
      <w:pPr>
        <w:rPr>
          <w:rFonts w:hint="eastAsia" w:ascii="仿宋_GB2312" w:eastAsia="仿宋_GB2312"/>
          <w:b w:val="0"/>
          <w:bCs/>
          <w:sz w:val="28"/>
          <w:szCs w:val="28"/>
          <w:highlight w:val="none"/>
          <w:lang w:val="en-US" w:eastAsia="zh-CN"/>
        </w:rPr>
      </w:pPr>
      <w:r>
        <w:rPr>
          <w:rFonts w:hint="eastAsia" w:ascii="仿宋_GB2312" w:eastAsia="仿宋_GB2312"/>
          <w:b w:val="0"/>
          <w:bCs/>
          <w:sz w:val="28"/>
          <w:szCs w:val="28"/>
          <w:highlight w:val="none"/>
          <w:lang w:val="en-US" w:eastAsia="zh-CN"/>
        </w:rPr>
        <w:t>二</w:t>
      </w:r>
      <w:r>
        <w:rPr>
          <w:rFonts w:hint="eastAsia" w:ascii="仿宋_GB2312" w:eastAsia="仿宋_GB2312"/>
          <w:b w:val="0"/>
          <w:bCs/>
          <w:sz w:val="28"/>
          <w:szCs w:val="28"/>
          <w:highlight w:val="none"/>
        </w:rPr>
        <w:t xml:space="preserve">、 </w:t>
      </w:r>
      <w:r>
        <w:rPr>
          <w:rFonts w:ascii="仿宋_GB2312" w:eastAsia="仿宋_GB2312"/>
          <w:b w:val="0"/>
          <w:bCs/>
          <w:sz w:val="28"/>
          <w:szCs w:val="28"/>
          <w:highlight w:val="none"/>
          <w:lang w:val="ru-RU"/>
        </w:rPr>
        <w:t>毕业生</w:t>
      </w:r>
      <w:r>
        <w:rPr>
          <w:rFonts w:hint="eastAsia" w:ascii="仿宋_GB2312" w:eastAsia="仿宋_GB2312"/>
          <w:b w:val="0"/>
          <w:bCs/>
          <w:sz w:val="28"/>
          <w:szCs w:val="28"/>
          <w:highlight w:val="none"/>
          <w:lang w:val="en-US" w:eastAsia="zh-CN"/>
        </w:rPr>
        <w:t>就业类型</w:t>
      </w:r>
    </w:p>
    <w:p>
      <w:pPr>
        <w:rPr>
          <w:rFonts w:hint="default" w:ascii="仿宋_GB2312" w:eastAsia="仿宋_GB2312"/>
          <w:b/>
          <w:sz w:val="28"/>
          <w:szCs w:val="28"/>
          <w:highlight w:val="none"/>
          <w:lang w:val="en-US" w:eastAsia="zh-CN"/>
        </w:rPr>
      </w:pPr>
      <w:r>
        <w:rPr>
          <w:rFonts w:hint="eastAsia" w:ascii="仿宋_GB2312" w:eastAsia="仿宋_GB2312"/>
          <w:b/>
          <w:sz w:val="28"/>
          <w:szCs w:val="28"/>
          <w:highlight w:val="none"/>
          <w:lang w:val="en-US" w:eastAsia="zh-CN"/>
        </w:rPr>
        <w:t>第二章 毕业生就业单位情况</w:t>
      </w:r>
    </w:p>
    <w:p>
      <w:pPr>
        <w:rPr>
          <w:rFonts w:hint="eastAsia" w:ascii="仿宋_GB2312" w:eastAsia="仿宋_GB2312"/>
          <w:b w:val="0"/>
          <w:bCs/>
          <w:sz w:val="28"/>
          <w:szCs w:val="28"/>
          <w:highlight w:val="none"/>
          <w:lang w:val="en-US" w:eastAsia="zh-CN"/>
        </w:rPr>
      </w:pPr>
      <w:r>
        <w:rPr>
          <w:rFonts w:hint="eastAsia" w:ascii="仿宋_GB2312" w:eastAsia="仿宋_GB2312"/>
          <w:b w:val="0"/>
          <w:bCs/>
          <w:sz w:val="28"/>
          <w:szCs w:val="28"/>
          <w:highlight w:val="none"/>
        </w:rPr>
        <w:t>一、</w:t>
      </w:r>
      <w:r>
        <w:rPr>
          <w:rFonts w:hint="eastAsia" w:ascii="仿宋_GB2312" w:eastAsia="仿宋_GB2312"/>
          <w:b w:val="0"/>
          <w:bCs/>
          <w:sz w:val="28"/>
          <w:szCs w:val="28"/>
          <w:highlight w:val="none"/>
          <w:lang w:val="en-US" w:eastAsia="zh-CN"/>
        </w:rPr>
        <w:t xml:space="preserve"> 总体就业行业结构</w:t>
      </w:r>
    </w:p>
    <w:p>
      <w:pPr>
        <w:rPr>
          <w:rFonts w:hint="eastAsia" w:ascii="仿宋_GB2312" w:eastAsia="仿宋_GB2312"/>
          <w:b w:val="0"/>
          <w:bCs/>
          <w:sz w:val="28"/>
          <w:szCs w:val="28"/>
          <w:highlight w:val="none"/>
          <w:lang w:val="en-US" w:eastAsia="zh-CN"/>
        </w:rPr>
      </w:pPr>
      <w:r>
        <w:rPr>
          <w:rFonts w:hint="eastAsia" w:ascii="仿宋_GB2312" w:eastAsia="仿宋_GB2312"/>
          <w:b w:val="0"/>
          <w:bCs/>
          <w:sz w:val="28"/>
          <w:szCs w:val="28"/>
          <w:highlight w:val="none"/>
          <w:lang w:val="en-US" w:eastAsia="zh-CN"/>
        </w:rPr>
        <w:t>二、 单位性质</w:t>
      </w:r>
    </w:p>
    <w:p>
      <w:pPr>
        <w:rPr>
          <w:rFonts w:hint="eastAsia" w:ascii="仿宋_GB2312" w:eastAsia="仿宋_GB2312"/>
          <w:b w:val="0"/>
          <w:bCs/>
          <w:sz w:val="28"/>
          <w:szCs w:val="28"/>
          <w:highlight w:val="none"/>
          <w:lang w:val="en-US" w:eastAsia="zh-CN"/>
        </w:rPr>
      </w:pPr>
      <w:r>
        <w:rPr>
          <w:rFonts w:hint="eastAsia" w:ascii="仿宋_GB2312" w:eastAsia="仿宋_GB2312"/>
          <w:b w:val="0"/>
          <w:bCs/>
          <w:sz w:val="28"/>
          <w:szCs w:val="28"/>
          <w:highlight w:val="none"/>
          <w:lang w:val="en-US" w:eastAsia="zh-CN"/>
        </w:rPr>
        <w:t>三、 工作职位类别</w:t>
      </w:r>
    </w:p>
    <w:p>
      <w:pPr>
        <w:rPr>
          <w:rFonts w:hint="default" w:ascii="仿宋_GB2312" w:eastAsia="仿宋_GB2312"/>
          <w:b w:val="0"/>
          <w:bCs/>
          <w:sz w:val="28"/>
          <w:szCs w:val="28"/>
          <w:highlight w:val="none"/>
          <w:lang w:val="en-US" w:eastAsia="zh-CN"/>
        </w:rPr>
      </w:pPr>
      <w:r>
        <w:rPr>
          <w:rFonts w:hint="eastAsia" w:ascii="仿宋_GB2312" w:eastAsia="仿宋_GB2312"/>
          <w:b w:val="0"/>
          <w:bCs/>
          <w:sz w:val="28"/>
          <w:szCs w:val="28"/>
          <w:highlight w:val="none"/>
          <w:lang w:val="en-US" w:eastAsia="zh-CN"/>
        </w:rPr>
        <w:t>四、 就业地域流向</w:t>
      </w:r>
    </w:p>
    <w:p>
      <w:pPr>
        <w:rPr>
          <w:rFonts w:hint="default" w:ascii="仿宋_GB2312" w:eastAsia="仿宋_GB2312"/>
          <w:b/>
          <w:sz w:val="28"/>
          <w:szCs w:val="28"/>
          <w:highlight w:val="none"/>
          <w:lang w:val="en-US" w:eastAsia="zh-CN"/>
        </w:rPr>
      </w:pPr>
      <w:r>
        <w:rPr>
          <w:rFonts w:hint="eastAsia" w:ascii="仿宋_GB2312" w:eastAsia="仿宋_GB2312"/>
          <w:b/>
          <w:sz w:val="28"/>
          <w:szCs w:val="28"/>
          <w:highlight w:val="none"/>
          <w:lang w:val="en-US" w:eastAsia="zh-CN"/>
        </w:rPr>
        <w:t>第三章 毕业生就业质量跟踪与反馈</w:t>
      </w:r>
    </w:p>
    <w:p>
      <w:pPr>
        <w:rPr>
          <w:rFonts w:hint="default" w:ascii="仿宋_GB2312" w:eastAsia="仿宋_GB2312"/>
          <w:b w:val="0"/>
          <w:bCs/>
          <w:sz w:val="28"/>
          <w:szCs w:val="28"/>
          <w:highlight w:val="none"/>
          <w:lang w:val="en-US" w:eastAsia="zh-CN"/>
        </w:rPr>
      </w:pPr>
      <w:r>
        <w:rPr>
          <w:rFonts w:hint="eastAsia" w:ascii="仿宋_GB2312" w:eastAsia="仿宋_GB2312"/>
          <w:b w:val="0"/>
          <w:bCs/>
          <w:sz w:val="28"/>
          <w:szCs w:val="28"/>
          <w:highlight w:val="none"/>
        </w:rPr>
        <w:t xml:space="preserve">一、 </w:t>
      </w:r>
      <w:r>
        <w:rPr>
          <w:rFonts w:hint="eastAsia" w:ascii="仿宋_GB2312" w:eastAsia="仿宋_GB2312"/>
          <w:b w:val="0"/>
          <w:bCs/>
          <w:sz w:val="28"/>
          <w:szCs w:val="28"/>
          <w:highlight w:val="none"/>
          <w:lang w:val="en-US" w:eastAsia="zh-CN"/>
        </w:rPr>
        <w:t>就业结果</w:t>
      </w:r>
    </w:p>
    <w:p>
      <w:pPr>
        <w:rPr>
          <w:rFonts w:hint="default" w:ascii="仿宋_GB2312" w:eastAsia="仿宋_GB2312"/>
          <w:b w:val="0"/>
          <w:bCs/>
          <w:sz w:val="28"/>
          <w:szCs w:val="28"/>
          <w:highlight w:val="none"/>
          <w:lang w:val="en-US" w:eastAsia="zh-CN"/>
        </w:rPr>
      </w:pPr>
      <w:r>
        <w:rPr>
          <w:rFonts w:hint="eastAsia" w:ascii="仿宋_GB2312" w:eastAsia="仿宋_GB2312"/>
          <w:b w:val="0"/>
          <w:bCs/>
          <w:sz w:val="28"/>
          <w:szCs w:val="28"/>
          <w:highlight w:val="none"/>
          <w:lang w:val="en-US" w:eastAsia="zh-CN"/>
        </w:rPr>
        <w:t>二</w:t>
      </w:r>
      <w:r>
        <w:rPr>
          <w:rFonts w:hint="eastAsia" w:ascii="仿宋_GB2312" w:eastAsia="仿宋_GB2312"/>
          <w:b w:val="0"/>
          <w:bCs/>
          <w:sz w:val="28"/>
          <w:szCs w:val="28"/>
          <w:highlight w:val="none"/>
        </w:rPr>
        <w:t xml:space="preserve">、 </w:t>
      </w:r>
      <w:r>
        <w:rPr>
          <w:rFonts w:hint="eastAsia" w:ascii="仿宋_GB2312" w:eastAsia="仿宋_GB2312"/>
          <w:b w:val="0"/>
          <w:bCs/>
          <w:sz w:val="28"/>
          <w:szCs w:val="28"/>
          <w:highlight w:val="none"/>
          <w:lang w:val="en-US" w:eastAsia="zh-CN"/>
        </w:rPr>
        <w:t>就业适配</w:t>
      </w:r>
    </w:p>
    <w:p>
      <w:pPr>
        <w:rPr>
          <w:rFonts w:hint="default" w:ascii="仿宋_GB2312" w:eastAsia="仿宋_GB2312"/>
          <w:b w:val="0"/>
          <w:bCs/>
          <w:sz w:val="28"/>
          <w:szCs w:val="28"/>
          <w:highlight w:val="none"/>
          <w:lang w:val="en-US" w:eastAsia="zh-CN"/>
        </w:rPr>
      </w:pPr>
      <w:r>
        <w:rPr>
          <w:rFonts w:hint="eastAsia" w:ascii="仿宋_GB2312" w:eastAsia="仿宋_GB2312"/>
          <w:b w:val="0"/>
          <w:bCs/>
          <w:sz w:val="28"/>
          <w:szCs w:val="28"/>
          <w:highlight w:val="none"/>
          <w:lang w:val="en-US" w:eastAsia="zh-CN"/>
        </w:rPr>
        <w:t>三</w:t>
      </w:r>
      <w:r>
        <w:rPr>
          <w:rFonts w:hint="eastAsia" w:ascii="仿宋_GB2312" w:eastAsia="仿宋_GB2312"/>
          <w:b w:val="0"/>
          <w:bCs/>
          <w:sz w:val="28"/>
          <w:szCs w:val="28"/>
          <w:highlight w:val="none"/>
        </w:rPr>
        <w:t xml:space="preserve">、 </w:t>
      </w:r>
      <w:r>
        <w:rPr>
          <w:rFonts w:hint="eastAsia" w:ascii="仿宋_GB2312" w:eastAsia="仿宋_GB2312"/>
          <w:b w:val="0"/>
          <w:bCs/>
          <w:sz w:val="28"/>
          <w:szCs w:val="28"/>
          <w:highlight w:val="none"/>
          <w:lang w:val="en-US" w:eastAsia="zh-CN"/>
        </w:rPr>
        <w:t>就业发展</w:t>
      </w:r>
    </w:p>
    <w:p>
      <w:pPr>
        <w:rPr>
          <w:rFonts w:hint="default" w:ascii="仿宋_GB2312" w:eastAsia="仿宋_GB2312"/>
          <w:b w:val="0"/>
          <w:bCs/>
          <w:sz w:val="28"/>
          <w:szCs w:val="28"/>
          <w:highlight w:val="none"/>
          <w:lang w:val="en-US" w:eastAsia="zh-CN"/>
        </w:rPr>
      </w:pPr>
      <w:r>
        <w:rPr>
          <w:rFonts w:hint="eastAsia" w:ascii="仿宋_GB2312" w:eastAsia="仿宋_GB2312"/>
          <w:b w:val="0"/>
          <w:bCs/>
          <w:sz w:val="28"/>
          <w:szCs w:val="28"/>
          <w:highlight w:val="none"/>
          <w:lang w:val="en-US" w:eastAsia="zh-CN"/>
        </w:rPr>
        <w:t>四</w:t>
      </w:r>
      <w:r>
        <w:rPr>
          <w:rFonts w:hint="eastAsia" w:ascii="仿宋_GB2312" w:eastAsia="仿宋_GB2312"/>
          <w:b w:val="0"/>
          <w:bCs/>
          <w:sz w:val="28"/>
          <w:szCs w:val="28"/>
          <w:highlight w:val="none"/>
        </w:rPr>
        <w:t xml:space="preserve">、 </w:t>
      </w:r>
      <w:r>
        <w:rPr>
          <w:rFonts w:hint="eastAsia" w:ascii="仿宋_GB2312" w:eastAsia="仿宋_GB2312"/>
          <w:b w:val="0"/>
          <w:bCs/>
          <w:sz w:val="28"/>
          <w:szCs w:val="28"/>
          <w:highlight w:val="none"/>
          <w:lang w:val="en-US" w:eastAsia="zh-CN"/>
        </w:rPr>
        <w:t>求职行为</w:t>
      </w:r>
    </w:p>
    <w:p>
      <w:pPr>
        <w:rPr>
          <w:rFonts w:hint="default" w:ascii="仿宋_GB2312" w:eastAsia="仿宋_GB2312"/>
          <w:b/>
          <w:sz w:val="28"/>
          <w:szCs w:val="28"/>
          <w:highlight w:val="none"/>
          <w:lang w:val="en-US" w:eastAsia="zh-CN"/>
        </w:rPr>
      </w:pPr>
      <w:r>
        <w:rPr>
          <w:rFonts w:hint="eastAsia" w:ascii="仿宋_GB2312" w:eastAsia="仿宋_GB2312"/>
          <w:b/>
          <w:sz w:val="28"/>
          <w:szCs w:val="28"/>
          <w:highlight w:val="none"/>
          <w:lang w:val="en-US" w:eastAsia="zh-CN"/>
        </w:rPr>
        <w:t>第四章 毕业生升学情况</w:t>
      </w:r>
    </w:p>
    <w:p>
      <w:pPr>
        <w:rPr>
          <w:rFonts w:hint="default" w:ascii="仿宋_GB2312" w:eastAsia="仿宋_GB2312"/>
          <w:b w:val="0"/>
          <w:bCs/>
          <w:sz w:val="28"/>
          <w:szCs w:val="28"/>
          <w:highlight w:val="none"/>
          <w:lang w:val="en-US" w:eastAsia="zh-CN"/>
        </w:rPr>
      </w:pPr>
      <w:r>
        <w:rPr>
          <w:rFonts w:hint="eastAsia" w:ascii="仿宋_GB2312" w:eastAsia="仿宋_GB2312"/>
          <w:b w:val="0"/>
          <w:bCs/>
          <w:sz w:val="28"/>
          <w:szCs w:val="28"/>
          <w:highlight w:val="none"/>
        </w:rPr>
        <w:t xml:space="preserve">一、 </w:t>
      </w:r>
      <w:r>
        <w:rPr>
          <w:rFonts w:hint="eastAsia" w:ascii="仿宋_GB2312" w:eastAsia="仿宋_GB2312"/>
          <w:b w:val="0"/>
          <w:bCs/>
          <w:sz w:val="28"/>
          <w:szCs w:val="28"/>
          <w:highlight w:val="none"/>
          <w:lang w:val="en-US" w:eastAsia="zh-CN"/>
        </w:rPr>
        <w:t>升学情况</w:t>
      </w:r>
    </w:p>
    <w:p>
      <w:pPr>
        <w:rPr>
          <w:rFonts w:hint="eastAsia" w:ascii="仿宋_GB2312" w:eastAsia="仿宋_GB2312"/>
          <w:b w:val="0"/>
          <w:bCs/>
          <w:sz w:val="28"/>
          <w:szCs w:val="28"/>
          <w:highlight w:val="none"/>
          <w:lang w:val="en-US" w:eastAsia="zh-CN"/>
        </w:rPr>
      </w:pPr>
      <w:r>
        <w:rPr>
          <w:rFonts w:hint="eastAsia" w:ascii="仿宋_GB2312" w:eastAsia="仿宋_GB2312"/>
          <w:b w:val="0"/>
          <w:bCs/>
          <w:sz w:val="28"/>
          <w:szCs w:val="28"/>
          <w:highlight w:val="none"/>
          <w:lang w:val="en-US" w:eastAsia="zh-CN"/>
        </w:rPr>
        <w:t>二</w:t>
      </w:r>
      <w:r>
        <w:rPr>
          <w:rFonts w:hint="eastAsia" w:ascii="仿宋_GB2312" w:eastAsia="仿宋_GB2312"/>
          <w:b w:val="0"/>
          <w:bCs/>
          <w:sz w:val="28"/>
          <w:szCs w:val="28"/>
          <w:highlight w:val="none"/>
        </w:rPr>
        <w:t xml:space="preserve">、 </w:t>
      </w:r>
      <w:r>
        <w:rPr>
          <w:rFonts w:hint="eastAsia" w:ascii="仿宋_GB2312" w:eastAsia="仿宋_GB2312"/>
          <w:b w:val="0"/>
          <w:bCs/>
          <w:sz w:val="28"/>
          <w:szCs w:val="28"/>
          <w:highlight w:val="none"/>
          <w:lang w:val="en-US" w:eastAsia="zh-CN"/>
        </w:rPr>
        <w:t>升学评价与反馈</w:t>
      </w:r>
    </w:p>
    <w:p>
      <w:pPr>
        <w:rPr>
          <w:rFonts w:hint="default" w:ascii="仿宋_GB2312" w:eastAsia="仿宋_GB2312"/>
          <w:b/>
          <w:sz w:val="28"/>
          <w:szCs w:val="28"/>
          <w:highlight w:val="none"/>
          <w:lang w:val="en-US" w:eastAsia="zh-CN"/>
        </w:rPr>
      </w:pPr>
      <w:r>
        <w:rPr>
          <w:rFonts w:hint="eastAsia" w:ascii="仿宋_GB2312" w:eastAsia="仿宋_GB2312"/>
          <w:b/>
          <w:sz w:val="28"/>
          <w:szCs w:val="28"/>
          <w:highlight w:val="none"/>
          <w:lang w:val="en-US" w:eastAsia="zh-CN"/>
        </w:rPr>
        <w:t>第五章 毕业生自主创业情况</w:t>
      </w:r>
    </w:p>
    <w:p>
      <w:pPr>
        <w:rPr>
          <w:rFonts w:hint="default" w:ascii="仿宋_GB2312" w:eastAsia="仿宋_GB2312"/>
          <w:b w:val="0"/>
          <w:bCs/>
          <w:sz w:val="28"/>
          <w:szCs w:val="28"/>
          <w:highlight w:val="none"/>
          <w:lang w:val="en-US" w:eastAsia="zh-CN"/>
        </w:rPr>
      </w:pPr>
      <w:r>
        <w:rPr>
          <w:rFonts w:hint="eastAsia" w:ascii="仿宋_GB2312" w:eastAsia="仿宋_GB2312"/>
          <w:b w:val="0"/>
          <w:bCs/>
          <w:sz w:val="28"/>
          <w:szCs w:val="28"/>
          <w:highlight w:val="none"/>
        </w:rPr>
        <w:t xml:space="preserve">一、 </w:t>
      </w:r>
      <w:r>
        <w:rPr>
          <w:rFonts w:hint="eastAsia" w:ascii="仿宋_GB2312" w:eastAsia="仿宋_GB2312"/>
          <w:b w:val="0"/>
          <w:bCs/>
          <w:sz w:val="28"/>
          <w:szCs w:val="28"/>
          <w:highlight w:val="none"/>
          <w:lang w:val="en-US" w:eastAsia="zh-CN"/>
        </w:rPr>
        <w:t>自主创业情况</w:t>
      </w:r>
    </w:p>
    <w:p>
      <w:pPr>
        <w:pStyle w:val="2"/>
        <w:ind w:left="0" w:leftChars="0" w:firstLine="0" w:firstLineChars="0"/>
        <w:rPr>
          <w:rFonts w:hint="eastAsia" w:ascii="仿宋_GB2312" w:eastAsia="仿宋_GB2312"/>
          <w:b w:val="0"/>
          <w:bCs/>
          <w:sz w:val="28"/>
          <w:szCs w:val="28"/>
          <w:highlight w:val="none"/>
          <w:lang w:val="en-US" w:eastAsia="zh-CN"/>
        </w:rPr>
      </w:pPr>
      <w:r>
        <w:rPr>
          <w:rFonts w:hint="eastAsia" w:ascii="仿宋_GB2312" w:eastAsia="仿宋_GB2312"/>
          <w:b w:val="0"/>
          <w:bCs/>
          <w:sz w:val="28"/>
          <w:szCs w:val="28"/>
          <w:highlight w:val="none"/>
          <w:lang w:val="en-US" w:eastAsia="zh-CN"/>
        </w:rPr>
        <w:t>二</w:t>
      </w:r>
      <w:r>
        <w:rPr>
          <w:rFonts w:hint="eastAsia" w:ascii="仿宋_GB2312" w:eastAsia="仿宋_GB2312"/>
          <w:b w:val="0"/>
          <w:bCs/>
          <w:sz w:val="28"/>
          <w:szCs w:val="28"/>
          <w:highlight w:val="none"/>
        </w:rPr>
        <w:t xml:space="preserve">、 </w:t>
      </w:r>
      <w:r>
        <w:rPr>
          <w:rFonts w:hint="eastAsia" w:ascii="仿宋_GB2312" w:eastAsia="仿宋_GB2312"/>
          <w:b w:val="0"/>
          <w:bCs/>
          <w:sz w:val="28"/>
          <w:szCs w:val="28"/>
          <w:highlight w:val="none"/>
          <w:lang w:val="en-US" w:eastAsia="zh-CN"/>
        </w:rPr>
        <w:t>自主创业评价与反馈</w:t>
      </w:r>
    </w:p>
    <w:p>
      <w:pPr>
        <w:rPr>
          <w:rFonts w:hint="default" w:ascii="仿宋_GB2312" w:eastAsia="仿宋_GB2312"/>
          <w:b/>
          <w:sz w:val="28"/>
          <w:szCs w:val="28"/>
          <w:highlight w:val="none"/>
          <w:lang w:val="en-US" w:eastAsia="zh-CN"/>
        </w:rPr>
      </w:pPr>
      <w:r>
        <w:rPr>
          <w:rFonts w:hint="eastAsia" w:ascii="仿宋_GB2312" w:eastAsia="仿宋_GB2312"/>
          <w:b/>
          <w:sz w:val="28"/>
          <w:szCs w:val="28"/>
          <w:highlight w:val="none"/>
          <w:lang w:val="en-US" w:eastAsia="zh-CN"/>
        </w:rPr>
        <w:t>第六章 毕业生自由职业情况</w:t>
      </w:r>
    </w:p>
    <w:p>
      <w:pPr>
        <w:rPr>
          <w:rFonts w:hint="default" w:ascii="仿宋_GB2312" w:eastAsia="仿宋_GB2312"/>
          <w:b w:val="0"/>
          <w:bCs/>
          <w:sz w:val="28"/>
          <w:szCs w:val="28"/>
          <w:highlight w:val="none"/>
          <w:lang w:val="en-US" w:eastAsia="zh-CN"/>
        </w:rPr>
      </w:pPr>
      <w:r>
        <w:rPr>
          <w:rFonts w:hint="eastAsia" w:ascii="仿宋_GB2312" w:eastAsia="仿宋_GB2312"/>
          <w:b w:val="0"/>
          <w:bCs/>
          <w:sz w:val="28"/>
          <w:szCs w:val="28"/>
          <w:highlight w:val="none"/>
        </w:rPr>
        <w:t xml:space="preserve">一、 </w:t>
      </w:r>
      <w:r>
        <w:rPr>
          <w:rFonts w:hint="eastAsia" w:ascii="仿宋_GB2312" w:eastAsia="仿宋_GB2312"/>
          <w:b w:val="0"/>
          <w:bCs/>
          <w:sz w:val="28"/>
          <w:szCs w:val="28"/>
          <w:highlight w:val="none"/>
          <w:lang w:val="en-US" w:eastAsia="zh-CN"/>
        </w:rPr>
        <w:t>自由职业情况</w:t>
      </w:r>
    </w:p>
    <w:p>
      <w:pPr>
        <w:rPr>
          <w:rFonts w:hint="default"/>
          <w:lang w:val="en-US" w:eastAsia="zh-CN"/>
        </w:rPr>
      </w:pPr>
      <w:r>
        <w:rPr>
          <w:rFonts w:hint="eastAsia" w:ascii="仿宋_GB2312" w:eastAsia="仿宋_GB2312"/>
          <w:b w:val="0"/>
          <w:bCs/>
          <w:sz w:val="28"/>
          <w:szCs w:val="28"/>
          <w:highlight w:val="none"/>
          <w:lang w:val="en-US" w:eastAsia="zh-CN"/>
        </w:rPr>
        <w:t>二</w:t>
      </w:r>
      <w:r>
        <w:rPr>
          <w:rFonts w:hint="eastAsia" w:ascii="仿宋_GB2312" w:eastAsia="仿宋_GB2312"/>
          <w:b w:val="0"/>
          <w:bCs/>
          <w:sz w:val="28"/>
          <w:szCs w:val="28"/>
          <w:highlight w:val="none"/>
        </w:rPr>
        <w:t xml:space="preserve">、 </w:t>
      </w:r>
      <w:r>
        <w:rPr>
          <w:rFonts w:hint="eastAsia" w:ascii="仿宋_GB2312" w:eastAsia="仿宋_GB2312"/>
          <w:b w:val="0"/>
          <w:bCs/>
          <w:sz w:val="28"/>
          <w:szCs w:val="28"/>
          <w:highlight w:val="none"/>
          <w:lang w:val="en-US" w:eastAsia="zh-CN"/>
        </w:rPr>
        <w:t>自由职业评价与反馈</w:t>
      </w:r>
    </w:p>
    <w:p>
      <w:pPr>
        <w:rPr>
          <w:rFonts w:hint="default" w:ascii="仿宋_GB2312" w:eastAsia="仿宋_GB2312"/>
          <w:b/>
          <w:sz w:val="28"/>
          <w:szCs w:val="28"/>
          <w:highlight w:val="none"/>
          <w:lang w:val="en-US" w:eastAsia="zh-CN"/>
        </w:rPr>
      </w:pPr>
      <w:r>
        <w:rPr>
          <w:rFonts w:hint="eastAsia" w:ascii="仿宋_GB2312" w:eastAsia="仿宋_GB2312"/>
          <w:b/>
          <w:sz w:val="28"/>
          <w:szCs w:val="28"/>
          <w:highlight w:val="none"/>
          <w:lang w:val="en-US" w:eastAsia="zh-CN"/>
        </w:rPr>
        <w:t>第七章 未就业毕业生情况</w:t>
      </w:r>
    </w:p>
    <w:p>
      <w:pPr>
        <w:rPr>
          <w:rFonts w:hint="default" w:ascii="仿宋_GB2312" w:eastAsia="仿宋_GB2312"/>
          <w:b w:val="0"/>
          <w:bCs/>
          <w:sz w:val="28"/>
          <w:szCs w:val="28"/>
          <w:highlight w:val="none"/>
          <w:lang w:val="en-US" w:eastAsia="zh-CN"/>
        </w:rPr>
      </w:pPr>
      <w:r>
        <w:rPr>
          <w:rFonts w:hint="eastAsia" w:ascii="仿宋_GB2312" w:eastAsia="仿宋_GB2312"/>
          <w:b w:val="0"/>
          <w:bCs/>
          <w:sz w:val="28"/>
          <w:szCs w:val="28"/>
          <w:highlight w:val="none"/>
        </w:rPr>
        <w:t>一、</w:t>
      </w:r>
      <w:r>
        <w:rPr>
          <w:rFonts w:hint="eastAsia" w:ascii="仿宋_GB2312" w:eastAsia="仿宋_GB2312"/>
          <w:b w:val="0"/>
          <w:bCs/>
          <w:sz w:val="28"/>
          <w:szCs w:val="28"/>
          <w:highlight w:val="none"/>
          <w:lang w:val="en-US" w:eastAsia="zh-CN"/>
        </w:rPr>
        <w:t xml:space="preserve"> 未就业状况</w:t>
      </w:r>
    </w:p>
    <w:p>
      <w:pPr>
        <w:rPr>
          <w:rFonts w:hint="default" w:ascii="仿宋_GB2312" w:eastAsia="仿宋_GB2312"/>
          <w:b w:val="0"/>
          <w:bCs/>
          <w:sz w:val="28"/>
          <w:szCs w:val="28"/>
          <w:highlight w:val="none"/>
          <w:lang w:val="en-US" w:eastAsia="zh-CN"/>
        </w:rPr>
      </w:pPr>
      <w:r>
        <w:rPr>
          <w:rFonts w:hint="eastAsia" w:ascii="仿宋_GB2312" w:eastAsia="仿宋_GB2312"/>
          <w:b w:val="0"/>
          <w:bCs/>
          <w:sz w:val="28"/>
          <w:szCs w:val="28"/>
          <w:highlight w:val="none"/>
          <w:lang w:val="en-US" w:eastAsia="zh-CN"/>
        </w:rPr>
        <w:t>二</w:t>
      </w:r>
      <w:r>
        <w:rPr>
          <w:rFonts w:hint="eastAsia" w:ascii="仿宋_GB2312" w:eastAsia="仿宋_GB2312"/>
          <w:b w:val="0"/>
          <w:bCs/>
          <w:sz w:val="28"/>
          <w:szCs w:val="28"/>
          <w:highlight w:val="none"/>
        </w:rPr>
        <w:t>、</w:t>
      </w:r>
      <w:r>
        <w:rPr>
          <w:rFonts w:hint="eastAsia" w:ascii="仿宋_GB2312" w:eastAsia="仿宋_GB2312"/>
          <w:b w:val="0"/>
          <w:bCs/>
          <w:sz w:val="28"/>
          <w:szCs w:val="28"/>
          <w:highlight w:val="none"/>
          <w:lang w:val="en-US" w:eastAsia="zh-CN"/>
        </w:rPr>
        <w:t xml:space="preserve"> 未就业评价与反馈</w:t>
      </w:r>
    </w:p>
    <w:p>
      <w:pPr>
        <w:rPr>
          <w:rFonts w:hint="default" w:ascii="仿宋_GB2312" w:eastAsia="仿宋_GB2312"/>
          <w:b/>
          <w:sz w:val="28"/>
          <w:szCs w:val="28"/>
          <w:highlight w:val="none"/>
          <w:lang w:val="en-US" w:eastAsia="zh-CN"/>
        </w:rPr>
      </w:pPr>
      <w:r>
        <w:rPr>
          <w:rFonts w:hint="eastAsia" w:ascii="仿宋_GB2312" w:eastAsia="仿宋_GB2312"/>
          <w:b/>
          <w:sz w:val="28"/>
          <w:szCs w:val="28"/>
          <w:highlight w:val="none"/>
          <w:lang w:val="en-US" w:eastAsia="zh-CN"/>
        </w:rPr>
        <w:t>第八章 母校评价</w:t>
      </w:r>
    </w:p>
    <w:p>
      <w:pPr>
        <w:rPr>
          <w:rFonts w:hint="default" w:ascii="仿宋_GB2312" w:eastAsia="仿宋_GB2312"/>
          <w:b w:val="0"/>
          <w:bCs/>
          <w:sz w:val="28"/>
          <w:szCs w:val="28"/>
          <w:highlight w:val="none"/>
          <w:lang w:val="en-US" w:eastAsia="zh-CN"/>
        </w:rPr>
      </w:pPr>
      <w:r>
        <w:rPr>
          <w:rFonts w:hint="eastAsia" w:ascii="仿宋_GB2312" w:eastAsia="仿宋_GB2312"/>
          <w:b w:val="0"/>
          <w:bCs/>
          <w:sz w:val="28"/>
          <w:szCs w:val="28"/>
          <w:highlight w:val="none"/>
        </w:rPr>
        <w:t xml:space="preserve">一、 </w:t>
      </w:r>
      <w:r>
        <w:rPr>
          <w:rFonts w:hint="eastAsia" w:ascii="仿宋_GB2312" w:eastAsia="仿宋_GB2312"/>
          <w:b w:val="0"/>
          <w:bCs/>
          <w:sz w:val="28"/>
          <w:szCs w:val="28"/>
          <w:highlight w:val="none"/>
          <w:lang w:val="en-US" w:eastAsia="zh-CN"/>
        </w:rPr>
        <w:t>母校满意度</w:t>
      </w:r>
    </w:p>
    <w:p>
      <w:pPr>
        <w:rPr>
          <w:rFonts w:hint="default" w:ascii="仿宋_GB2312" w:eastAsia="仿宋_GB2312"/>
          <w:b w:val="0"/>
          <w:bCs/>
          <w:sz w:val="28"/>
          <w:szCs w:val="28"/>
          <w:highlight w:val="none"/>
          <w:lang w:val="en-US" w:eastAsia="zh-CN"/>
        </w:rPr>
      </w:pPr>
      <w:r>
        <w:rPr>
          <w:rFonts w:hint="eastAsia" w:ascii="仿宋_GB2312" w:eastAsia="仿宋_GB2312"/>
          <w:b w:val="0"/>
          <w:bCs/>
          <w:sz w:val="28"/>
          <w:szCs w:val="28"/>
          <w:highlight w:val="none"/>
          <w:lang w:val="en-US" w:eastAsia="zh-CN"/>
        </w:rPr>
        <w:t>二</w:t>
      </w:r>
      <w:r>
        <w:rPr>
          <w:rFonts w:hint="eastAsia" w:ascii="仿宋_GB2312" w:eastAsia="仿宋_GB2312"/>
          <w:b w:val="0"/>
          <w:bCs/>
          <w:sz w:val="28"/>
          <w:szCs w:val="28"/>
          <w:highlight w:val="none"/>
        </w:rPr>
        <w:t xml:space="preserve">、 </w:t>
      </w:r>
      <w:r>
        <w:rPr>
          <w:rFonts w:hint="eastAsia" w:ascii="仿宋_GB2312" w:eastAsia="仿宋_GB2312"/>
          <w:b w:val="0"/>
          <w:bCs/>
          <w:sz w:val="28"/>
          <w:szCs w:val="28"/>
          <w:highlight w:val="none"/>
          <w:lang w:val="en-US" w:eastAsia="zh-CN"/>
        </w:rPr>
        <w:t>教育教学评价</w:t>
      </w:r>
    </w:p>
    <w:p>
      <w:pPr>
        <w:rPr>
          <w:rFonts w:hint="default" w:ascii="仿宋_GB2312" w:eastAsia="仿宋_GB2312"/>
          <w:b w:val="0"/>
          <w:bCs/>
          <w:sz w:val="28"/>
          <w:szCs w:val="28"/>
          <w:highlight w:val="none"/>
          <w:lang w:val="en-US" w:eastAsia="zh-CN"/>
        </w:rPr>
      </w:pPr>
      <w:r>
        <w:rPr>
          <w:rFonts w:hint="eastAsia" w:ascii="仿宋_GB2312" w:eastAsia="仿宋_GB2312"/>
          <w:b w:val="0"/>
          <w:bCs/>
          <w:sz w:val="28"/>
          <w:szCs w:val="28"/>
          <w:highlight w:val="none"/>
          <w:lang w:val="en-US" w:eastAsia="zh-CN"/>
        </w:rPr>
        <w:t>三</w:t>
      </w:r>
      <w:r>
        <w:rPr>
          <w:rFonts w:hint="eastAsia" w:ascii="仿宋_GB2312" w:eastAsia="仿宋_GB2312"/>
          <w:b w:val="0"/>
          <w:bCs/>
          <w:sz w:val="28"/>
          <w:szCs w:val="28"/>
          <w:highlight w:val="none"/>
        </w:rPr>
        <w:t xml:space="preserve">、 </w:t>
      </w:r>
      <w:r>
        <w:rPr>
          <w:rFonts w:hint="eastAsia" w:ascii="仿宋_GB2312" w:eastAsia="仿宋_GB2312"/>
          <w:b w:val="0"/>
          <w:bCs/>
          <w:sz w:val="28"/>
          <w:szCs w:val="28"/>
          <w:highlight w:val="none"/>
          <w:lang w:val="en-US" w:eastAsia="zh-CN"/>
        </w:rPr>
        <w:t>就业创业服务评价</w:t>
      </w:r>
    </w:p>
    <w:p>
      <w:pPr>
        <w:rPr>
          <w:rFonts w:hint="default" w:ascii="仿宋_GB2312" w:eastAsia="仿宋_GB2312"/>
          <w:b/>
          <w:sz w:val="28"/>
          <w:szCs w:val="28"/>
          <w:highlight w:val="none"/>
          <w:lang w:val="en-US" w:eastAsia="zh-CN"/>
        </w:rPr>
      </w:pPr>
      <w:r>
        <w:rPr>
          <w:rFonts w:hint="eastAsia" w:ascii="仿宋_GB2312" w:eastAsia="仿宋_GB2312"/>
          <w:b/>
          <w:sz w:val="28"/>
          <w:szCs w:val="28"/>
          <w:highlight w:val="none"/>
          <w:lang w:val="en-US" w:eastAsia="zh-CN"/>
        </w:rPr>
        <w:t>第九章 用人单位对毕业生及学校的评价与反馈</w:t>
      </w:r>
    </w:p>
    <w:p>
      <w:pPr>
        <w:rPr>
          <w:rFonts w:hint="default" w:ascii="仿宋_GB2312" w:eastAsia="仿宋_GB2312"/>
          <w:b w:val="0"/>
          <w:bCs/>
          <w:sz w:val="28"/>
          <w:szCs w:val="28"/>
          <w:highlight w:val="none"/>
          <w:lang w:val="en-US" w:eastAsia="zh-CN"/>
        </w:rPr>
      </w:pPr>
      <w:r>
        <w:rPr>
          <w:rFonts w:hint="eastAsia" w:ascii="仿宋_GB2312" w:eastAsia="仿宋_GB2312"/>
          <w:b w:val="0"/>
          <w:bCs/>
          <w:sz w:val="28"/>
          <w:szCs w:val="28"/>
          <w:highlight w:val="none"/>
        </w:rPr>
        <w:t xml:space="preserve">一、 </w:t>
      </w:r>
      <w:r>
        <w:rPr>
          <w:rFonts w:hint="eastAsia" w:ascii="仿宋_GB2312" w:eastAsia="仿宋_GB2312"/>
          <w:b w:val="0"/>
          <w:bCs/>
          <w:sz w:val="28"/>
          <w:szCs w:val="28"/>
          <w:highlight w:val="none"/>
          <w:lang w:val="en-US" w:eastAsia="zh-CN"/>
        </w:rPr>
        <w:t>参与调研用人单位基本情况分析</w:t>
      </w:r>
    </w:p>
    <w:p>
      <w:pPr>
        <w:rPr>
          <w:rFonts w:hint="eastAsia" w:ascii="仿宋_GB2312" w:eastAsia="仿宋_GB2312"/>
          <w:b w:val="0"/>
          <w:bCs/>
          <w:sz w:val="28"/>
          <w:szCs w:val="28"/>
          <w:highlight w:val="none"/>
          <w:lang w:val="en-US" w:eastAsia="zh-CN"/>
        </w:rPr>
      </w:pPr>
      <w:r>
        <w:rPr>
          <w:rFonts w:hint="eastAsia" w:ascii="仿宋_GB2312" w:eastAsia="仿宋_GB2312"/>
          <w:b w:val="0"/>
          <w:bCs/>
          <w:sz w:val="28"/>
          <w:szCs w:val="28"/>
          <w:highlight w:val="none"/>
          <w:lang w:val="en-US" w:eastAsia="zh-CN"/>
        </w:rPr>
        <w:t>二</w:t>
      </w:r>
      <w:r>
        <w:rPr>
          <w:rFonts w:hint="eastAsia" w:ascii="仿宋_GB2312" w:eastAsia="仿宋_GB2312"/>
          <w:b w:val="0"/>
          <w:bCs/>
          <w:sz w:val="28"/>
          <w:szCs w:val="28"/>
          <w:highlight w:val="none"/>
        </w:rPr>
        <w:t>、</w:t>
      </w:r>
      <w:r>
        <w:rPr>
          <w:rFonts w:hint="eastAsia" w:ascii="仿宋_GB2312" w:eastAsia="仿宋_GB2312"/>
          <w:b w:val="0"/>
          <w:bCs/>
          <w:sz w:val="28"/>
          <w:szCs w:val="28"/>
          <w:highlight w:val="none"/>
          <w:lang w:val="en-US" w:eastAsia="zh-CN"/>
        </w:rPr>
        <w:t xml:space="preserve"> 用人单位用人需求分析 </w:t>
      </w:r>
    </w:p>
    <w:p>
      <w:pPr>
        <w:rPr>
          <w:rFonts w:hint="eastAsia" w:ascii="仿宋_GB2312" w:eastAsia="仿宋_GB2312"/>
          <w:b w:val="0"/>
          <w:bCs/>
          <w:sz w:val="28"/>
          <w:szCs w:val="28"/>
          <w:highlight w:val="none"/>
          <w:lang w:val="en-US" w:eastAsia="zh-CN"/>
        </w:rPr>
      </w:pPr>
      <w:r>
        <w:rPr>
          <w:rFonts w:hint="eastAsia" w:ascii="仿宋_GB2312" w:eastAsia="仿宋_GB2312"/>
          <w:b w:val="0"/>
          <w:bCs/>
          <w:sz w:val="28"/>
          <w:szCs w:val="28"/>
          <w:highlight w:val="none"/>
          <w:lang w:val="en-US" w:eastAsia="zh-CN"/>
        </w:rPr>
        <w:t>三</w:t>
      </w:r>
      <w:r>
        <w:rPr>
          <w:rFonts w:hint="eastAsia" w:ascii="仿宋_GB2312" w:eastAsia="仿宋_GB2312"/>
          <w:b w:val="0"/>
          <w:bCs/>
          <w:sz w:val="28"/>
          <w:szCs w:val="28"/>
          <w:highlight w:val="none"/>
        </w:rPr>
        <w:t xml:space="preserve">、 </w:t>
      </w:r>
      <w:r>
        <w:rPr>
          <w:rFonts w:hint="eastAsia" w:ascii="仿宋_GB2312" w:eastAsia="仿宋_GB2312"/>
          <w:b w:val="0"/>
          <w:bCs/>
          <w:sz w:val="28"/>
          <w:szCs w:val="28"/>
          <w:highlight w:val="none"/>
          <w:lang w:val="en-US" w:eastAsia="zh-CN"/>
        </w:rPr>
        <w:t>用人单位对毕业生的评价与反馈</w:t>
      </w:r>
    </w:p>
    <w:p>
      <w:pPr>
        <w:rPr>
          <w:rFonts w:hint="default" w:ascii="仿宋_GB2312" w:eastAsia="仿宋_GB2312"/>
          <w:b w:val="0"/>
          <w:bCs/>
          <w:sz w:val="28"/>
          <w:szCs w:val="28"/>
          <w:highlight w:val="none"/>
          <w:lang w:val="en-US" w:eastAsia="zh-CN"/>
        </w:rPr>
      </w:pPr>
      <w:r>
        <w:rPr>
          <w:rFonts w:hint="eastAsia" w:ascii="仿宋_GB2312" w:eastAsia="仿宋_GB2312"/>
          <w:b w:val="0"/>
          <w:bCs/>
          <w:sz w:val="28"/>
          <w:szCs w:val="28"/>
          <w:highlight w:val="none"/>
          <w:lang w:val="en-US" w:eastAsia="zh-CN"/>
        </w:rPr>
        <w:t>四</w:t>
      </w:r>
      <w:r>
        <w:rPr>
          <w:rFonts w:hint="eastAsia" w:ascii="仿宋_GB2312" w:eastAsia="仿宋_GB2312"/>
          <w:b w:val="0"/>
          <w:bCs/>
          <w:sz w:val="28"/>
          <w:szCs w:val="28"/>
          <w:highlight w:val="none"/>
        </w:rPr>
        <w:t xml:space="preserve">、 </w:t>
      </w:r>
      <w:r>
        <w:rPr>
          <w:rFonts w:hint="eastAsia" w:ascii="仿宋_GB2312" w:eastAsia="仿宋_GB2312"/>
          <w:b w:val="0"/>
          <w:bCs/>
          <w:sz w:val="28"/>
          <w:szCs w:val="28"/>
          <w:highlight w:val="none"/>
          <w:lang w:val="en-US" w:eastAsia="zh-CN"/>
        </w:rPr>
        <w:t>用人单位对学校的评价与反馈</w:t>
      </w:r>
    </w:p>
    <w:p>
      <w:pPr>
        <w:rPr>
          <w:rFonts w:hint="default" w:ascii="仿宋_GB2312" w:eastAsia="仿宋_GB2312"/>
          <w:b/>
          <w:sz w:val="28"/>
          <w:szCs w:val="28"/>
          <w:highlight w:val="none"/>
          <w:lang w:val="en-US" w:eastAsia="zh-CN"/>
        </w:rPr>
      </w:pPr>
      <w:r>
        <w:rPr>
          <w:rFonts w:hint="eastAsia" w:ascii="仿宋_GB2312" w:eastAsia="仿宋_GB2312"/>
          <w:b/>
          <w:sz w:val="28"/>
          <w:szCs w:val="28"/>
          <w:highlight w:val="none"/>
          <w:lang w:val="en-US" w:eastAsia="zh-CN"/>
        </w:rPr>
        <w:t xml:space="preserve">第十章 </w:t>
      </w:r>
      <w:r>
        <w:rPr>
          <w:rFonts w:ascii="仿宋_GB2312" w:eastAsia="仿宋_GB2312"/>
          <w:b/>
          <w:sz w:val="28"/>
          <w:szCs w:val="28"/>
          <w:highlight w:val="none"/>
          <w:lang w:val="ru-RU"/>
        </w:rPr>
        <w:t>20</w:t>
      </w:r>
      <w:r>
        <w:rPr>
          <w:rFonts w:hint="eastAsia" w:ascii="仿宋_GB2312" w:eastAsia="仿宋_GB2312"/>
          <w:b/>
          <w:sz w:val="28"/>
          <w:szCs w:val="28"/>
          <w:highlight w:val="none"/>
          <w:lang w:val="en-US" w:eastAsia="zh-CN"/>
        </w:rPr>
        <w:t>21</w:t>
      </w:r>
      <w:r>
        <w:rPr>
          <w:rFonts w:ascii="仿宋_GB2312" w:eastAsia="仿宋_GB2312"/>
          <w:b/>
          <w:sz w:val="28"/>
          <w:szCs w:val="28"/>
          <w:highlight w:val="none"/>
          <w:lang w:val="ru-RU"/>
        </w:rPr>
        <w:t>-20</w:t>
      </w:r>
      <w:r>
        <w:rPr>
          <w:rFonts w:hint="eastAsia" w:ascii="仿宋_GB2312" w:eastAsia="仿宋_GB2312"/>
          <w:b/>
          <w:sz w:val="28"/>
          <w:szCs w:val="28"/>
          <w:highlight w:val="none"/>
          <w:lang w:val="en-US" w:eastAsia="zh-CN"/>
        </w:rPr>
        <w:t>23</w:t>
      </w:r>
      <w:r>
        <w:rPr>
          <w:rFonts w:ascii="仿宋_GB2312" w:eastAsia="仿宋_GB2312"/>
          <w:b/>
          <w:sz w:val="28"/>
          <w:szCs w:val="28"/>
          <w:highlight w:val="none"/>
          <w:lang w:val="ru-RU"/>
        </w:rPr>
        <w:t>届毕业生就业发展趋势</w:t>
      </w:r>
    </w:p>
    <w:p>
      <w:pPr>
        <w:rPr>
          <w:rFonts w:hint="eastAsia" w:ascii="仿宋_GB2312" w:eastAsia="仿宋_GB2312"/>
          <w:b w:val="0"/>
          <w:bCs/>
          <w:sz w:val="28"/>
          <w:szCs w:val="28"/>
          <w:highlight w:val="none"/>
          <w:lang w:val="en-US" w:eastAsia="zh-CN"/>
        </w:rPr>
      </w:pPr>
      <w:r>
        <w:rPr>
          <w:rFonts w:hint="eastAsia" w:ascii="仿宋_GB2312" w:eastAsia="仿宋_GB2312"/>
          <w:b w:val="0"/>
          <w:bCs/>
          <w:sz w:val="28"/>
          <w:szCs w:val="28"/>
          <w:highlight w:val="none"/>
        </w:rPr>
        <w:t xml:space="preserve">一、 </w:t>
      </w:r>
      <w:r>
        <w:rPr>
          <w:rFonts w:hint="eastAsia" w:ascii="仿宋_GB2312" w:eastAsia="仿宋_GB2312"/>
          <w:b w:val="0"/>
          <w:bCs/>
          <w:sz w:val="28"/>
          <w:szCs w:val="28"/>
          <w:highlight w:val="none"/>
          <w:lang w:val="en-US" w:eastAsia="zh-CN"/>
        </w:rPr>
        <w:t>2021-2023届毕业生毕业去向落实率变化趋势</w:t>
      </w:r>
    </w:p>
    <w:p>
      <w:pPr>
        <w:rPr>
          <w:rFonts w:hint="eastAsia" w:ascii="仿宋_GB2312" w:eastAsia="仿宋_GB2312"/>
          <w:b w:val="0"/>
          <w:bCs/>
          <w:sz w:val="28"/>
          <w:szCs w:val="28"/>
          <w:highlight w:val="none"/>
          <w:lang w:val="en-US" w:eastAsia="zh-CN"/>
        </w:rPr>
      </w:pPr>
      <w:r>
        <w:rPr>
          <w:rFonts w:hint="eastAsia" w:ascii="仿宋_GB2312" w:eastAsia="仿宋_GB2312"/>
          <w:b w:val="0"/>
          <w:bCs/>
          <w:sz w:val="28"/>
          <w:szCs w:val="28"/>
          <w:highlight w:val="none"/>
          <w:lang w:val="en-US" w:eastAsia="zh-CN"/>
        </w:rPr>
        <w:t>二</w:t>
      </w:r>
      <w:r>
        <w:rPr>
          <w:rFonts w:hint="eastAsia" w:ascii="仿宋_GB2312" w:eastAsia="仿宋_GB2312"/>
          <w:b w:val="0"/>
          <w:bCs/>
          <w:sz w:val="28"/>
          <w:szCs w:val="28"/>
          <w:highlight w:val="none"/>
        </w:rPr>
        <w:t xml:space="preserve">、 </w:t>
      </w:r>
      <w:r>
        <w:rPr>
          <w:rFonts w:hint="eastAsia" w:ascii="仿宋_GB2312" w:eastAsia="仿宋_GB2312"/>
          <w:b w:val="0"/>
          <w:bCs/>
          <w:sz w:val="28"/>
          <w:szCs w:val="28"/>
          <w:highlight w:val="none"/>
          <w:lang w:val="en-US" w:eastAsia="zh-CN"/>
        </w:rPr>
        <w:t>2021-2023届毕业生升学人数变化趋势</w:t>
      </w:r>
    </w:p>
    <w:p>
      <w:pPr>
        <w:rPr>
          <w:rFonts w:hint="eastAsia" w:ascii="仿宋_GB2312" w:eastAsia="仿宋_GB2312"/>
          <w:b w:val="0"/>
          <w:bCs/>
          <w:sz w:val="28"/>
          <w:szCs w:val="28"/>
          <w:highlight w:val="none"/>
          <w:lang w:val="en-US" w:eastAsia="zh-CN"/>
        </w:rPr>
      </w:pPr>
      <w:r>
        <w:rPr>
          <w:rFonts w:hint="eastAsia" w:ascii="仿宋_GB2312" w:eastAsia="仿宋_GB2312"/>
          <w:b w:val="0"/>
          <w:bCs/>
          <w:sz w:val="28"/>
          <w:szCs w:val="28"/>
          <w:highlight w:val="none"/>
          <w:lang w:val="en-US" w:eastAsia="zh-CN"/>
        </w:rPr>
        <w:t>三</w:t>
      </w:r>
      <w:r>
        <w:rPr>
          <w:rFonts w:hint="eastAsia" w:ascii="仿宋_GB2312" w:eastAsia="仿宋_GB2312"/>
          <w:b w:val="0"/>
          <w:bCs/>
          <w:sz w:val="28"/>
          <w:szCs w:val="28"/>
          <w:highlight w:val="none"/>
        </w:rPr>
        <w:t xml:space="preserve">、 </w:t>
      </w:r>
      <w:r>
        <w:rPr>
          <w:rFonts w:hint="eastAsia" w:ascii="仿宋_GB2312" w:eastAsia="仿宋_GB2312"/>
          <w:b w:val="0"/>
          <w:bCs/>
          <w:sz w:val="28"/>
          <w:szCs w:val="28"/>
          <w:highlight w:val="none"/>
          <w:lang w:val="en-US" w:eastAsia="zh-CN"/>
        </w:rPr>
        <w:t>2021-2023届毕业生自主创业人数变化趋势</w:t>
      </w:r>
    </w:p>
    <w:p>
      <w:pPr>
        <w:rPr>
          <w:rFonts w:hint="default" w:ascii="仿宋_GB2312" w:eastAsia="仿宋_GB2312"/>
          <w:b/>
          <w:sz w:val="28"/>
          <w:szCs w:val="28"/>
          <w:highlight w:val="none"/>
          <w:lang w:val="en-US" w:eastAsia="zh-CN"/>
        </w:rPr>
      </w:pPr>
      <w:r>
        <w:rPr>
          <w:rFonts w:hint="eastAsia" w:ascii="仿宋_GB2312" w:eastAsia="仿宋_GB2312"/>
          <w:b/>
          <w:sz w:val="28"/>
          <w:szCs w:val="28"/>
          <w:highlight w:val="none"/>
          <w:lang w:val="en-US" w:eastAsia="zh-CN"/>
        </w:rPr>
        <w:t xml:space="preserve">第十一章 </w:t>
      </w:r>
      <w:r>
        <w:rPr>
          <w:rFonts w:ascii="仿宋_GB2312" w:eastAsia="仿宋_GB2312"/>
          <w:b/>
          <w:sz w:val="28"/>
          <w:szCs w:val="28"/>
          <w:highlight w:val="none"/>
          <w:lang w:val="ru-RU"/>
        </w:rPr>
        <w:t>20</w:t>
      </w:r>
      <w:r>
        <w:rPr>
          <w:rFonts w:hint="eastAsia" w:ascii="仿宋_GB2312" w:eastAsia="仿宋_GB2312"/>
          <w:b/>
          <w:sz w:val="28"/>
          <w:szCs w:val="28"/>
          <w:highlight w:val="none"/>
          <w:lang w:val="en-US" w:eastAsia="zh-CN"/>
        </w:rPr>
        <w:t>23</w:t>
      </w:r>
      <w:r>
        <w:rPr>
          <w:rFonts w:ascii="仿宋_GB2312" w:eastAsia="仿宋_GB2312"/>
          <w:b/>
          <w:sz w:val="28"/>
          <w:szCs w:val="28"/>
          <w:highlight w:val="none"/>
          <w:lang w:val="ru-RU"/>
        </w:rPr>
        <w:t>届毕业生就业</w:t>
      </w:r>
      <w:r>
        <w:rPr>
          <w:rFonts w:hint="eastAsia" w:ascii="仿宋_GB2312" w:eastAsia="仿宋_GB2312"/>
          <w:b/>
          <w:sz w:val="28"/>
          <w:szCs w:val="28"/>
          <w:highlight w:val="none"/>
          <w:lang w:val="en-US" w:eastAsia="zh-CN"/>
        </w:rPr>
        <w:t>工作举措</w:t>
      </w:r>
    </w:p>
    <w:p>
      <w:pPr>
        <w:rPr>
          <w:rFonts w:hint="default" w:ascii="仿宋_GB2312" w:eastAsia="仿宋_GB2312"/>
          <w:b w:val="0"/>
          <w:bCs/>
          <w:sz w:val="28"/>
          <w:szCs w:val="28"/>
          <w:highlight w:val="none"/>
          <w:lang w:val="en-US" w:eastAsia="zh-CN"/>
        </w:rPr>
      </w:pPr>
      <w:r>
        <w:rPr>
          <w:rFonts w:hint="eastAsia" w:ascii="仿宋_GB2312" w:eastAsia="仿宋_GB2312"/>
          <w:b w:val="0"/>
          <w:bCs/>
          <w:sz w:val="28"/>
          <w:szCs w:val="28"/>
          <w:highlight w:val="none"/>
        </w:rPr>
        <w:t xml:space="preserve">一、 </w:t>
      </w:r>
      <w:r>
        <w:rPr>
          <w:rFonts w:hint="eastAsia" w:ascii="仿宋_GB2312" w:eastAsia="仿宋_GB2312"/>
          <w:b w:val="0"/>
          <w:bCs/>
          <w:sz w:val="28"/>
          <w:szCs w:val="28"/>
          <w:highlight w:val="none"/>
          <w:lang w:val="en-US" w:eastAsia="zh-CN"/>
        </w:rPr>
        <w:t>始终把政治建设摆在首位，坚决做到“两个维护”</w:t>
      </w:r>
    </w:p>
    <w:p>
      <w:pPr>
        <w:rPr>
          <w:rFonts w:hint="default" w:ascii="仿宋_GB2312" w:eastAsia="仿宋_GB2312"/>
          <w:b w:val="0"/>
          <w:bCs/>
          <w:sz w:val="28"/>
          <w:szCs w:val="28"/>
          <w:highlight w:val="none"/>
          <w:lang w:val="en-US"/>
        </w:rPr>
      </w:pPr>
      <w:r>
        <w:rPr>
          <w:rFonts w:hint="eastAsia" w:ascii="仿宋_GB2312" w:eastAsia="仿宋_GB2312"/>
          <w:b w:val="0"/>
          <w:bCs/>
          <w:sz w:val="28"/>
          <w:szCs w:val="28"/>
          <w:highlight w:val="none"/>
          <w:lang w:val="en-US" w:eastAsia="zh-CN"/>
        </w:rPr>
        <w:t>二、 领导重视，全力保障</w:t>
      </w:r>
    </w:p>
    <w:p>
      <w:pPr>
        <w:rPr>
          <w:rFonts w:hint="default" w:ascii="仿宋_GB2312" w:eastAsia="仿宋_GB2312"/>
          <w:b w:val="0"/>
          <w:bCs/>
          <w:sz w:val="28"/>
          <w:szCs w:val="28"/>
          <w:highlight w:val="none"/>
          <w:lang w:val="en-US" w:eastAsia="zh-CN"/>
        </w:rPr>
      </w:pPr>
      <w:r>
        <w:rPr>
          <w:rFonts w:hint="eastAsia" w:ascii="仿宋_GB2312" w:eastAsia="仿宋_GB2312"/>
          <w:b w:val="0"/>
          <w:bCs/>
          <w:sz w:val="28"/>
          <w:szCs w:val="28"/>
          <w:highlight w:val="none"/>
          <w:lang w:val="en-US" w:eastAsia="zh-CN"/>
        </w:rPr>
        <w:t>三</w:t>
      </w:r>
      <w:r>
        <w:rPr>
          <w:rFonts w:hint="eastAsia" w:ascii="仿宋_GB2312" w:eastAsia="仿宋_GB2312"/>
          <w:b w:val="0"/>
          <w:bCs/>
          <w:sz w:val="28"/>
          <w:szCs w:val="28"/>
          <w:highlight w:val="none"/>
        </w:rPr>
        <w:t xml:space="preserve">、 </w:t>
      </w:r>
      <w:r>
        <w:rPr>
          <w:rFonts w:hint="eastAsia" w:ascii="仿宋_GB2312" w:eastAsia="仿宋_GB2312"/>
          <w:b w:val="0"/>
          <w:bCs/>
          <w:sz w:val="28"/>
          <w:szCs w:val="28"/>
          <w:highlight w:val="none"/>
          <w:lang w:val="en-US" w:eastAsia="zh-CN"/>
        </w:rPr>
        <w:t>齐心协力，推进构建高质量就业指导服务体系</w:t>
      </w:r>
    </w:p>
    <w:p>
      <w:pPr>
        <w:rPr>
          <w:sz w:val="32"/>
          <w:szCs w:val="32"/>
          <w:lang w:val="ru-RU"/>
        </w:rPr>
      </w:pPr>
      <w:r>
        <w:rPr>
          <w:rFonts w:hint="eastAsia" w:ascii="仿宋_GB2312" w:eastAsia="仿宋_GB2312"/>
          <w:b w:val="0"/>
          <w:bCs/>
          <w:sz w:val="28"/>
          <w:szCs w:val="28"/>
          <w:highlight w:val="none"/>
          <w:lang w:val="en-US" w:eastAsia="zh-CN"/>
        </w:rPr>
        <w:t>四</w:t>
      </w:r>
      <w:r>
        <w:rPr>
          <w:rFonts w:hint="eastAsia" w:ascii="仿宋_GB2312" w:eastAsia="仿宋_GB2312"/>
          <w:b w:val="0"/>
          <w:bCs/>
          <w:sz w:val="28"/>
          <w:szCs w:val="28"/>
          <w:highlight w:val="none"/>
        </w:rPr>
        <w:t xml:space="preserve">、 </w:t>
      </w:r>
      <w:r>
        <w:rPr>
          <w:rFonts w:hint="eastAsia" w:ascii="仿宋_GB2312" w:eastAsia="仿宋_GB2312"/>
          <w:b w:val="0"/>
          <w:bCs/>
          <w:sz w:val="28"/>
          <w:szCs w:val="28"/>
          <w:highlight w:val="none"/>
          <w:lang w:val="en-US" w:eastAsia="zh-CN"/>
        </w:rPr>
        <w:t>落实政策，精准帮扶特殊群体就业创业</w:t>
      </w:r>
    </w:p>
    <w:p>
      <w:pPr>
        <w:widowControl/>
        <w:spacing w:line="360" w:lineRule="auto"/>
        <w:ind w:firstLine="720" w:firstLineChars="200"/>
        <w:jc w:val="center"/>
        <w:rPr>
          <w:sz w:val="36"/>
          <w:szCs w:val="36"/>
          <w:lang w:val="ru-RU"/>
        </w:rPr>
      </w:pPr>
    </w:p>
    <w:p>
      <w:pPr>
        <w:widowControl/>
        <w:spacing w:line="360" w:lineRule="auto"/>
        <w:ind w:firstLine="720" w:firstLineChars="200"/>
        <w:jc w:val="center"/>
        <w:rPr>
          <w:sz w:val="36"/>
          <w:szCs w:val="36"/>
          <w:lang w:val="ru-RU"/>
        </w:rPr>
      </w:pPr>
    </w:p>
    <w:p>
      <w:pPr>
        <w:widowControl/>
        <w:spacing w:line="360" w:lineRule="auto"/>
        <w:ind w:firstLine="720" w:firstLineChars="200"/>
        <w:jc w:val="center"/>
        <w:rPr>
          <w:sz w:val="36"/>
          <w:szCs w:val="36"/>
          <w:lang w:val="ru-RU"/>
        </w:rPr>
      </w:pPr>
    </w:p>
    <w:p>
      <w:pPr>
        <w:widowControl/>
        <w:spacing w:line="360" w:lineRule="auto"/>
        <w:ind w:firstLine="720" w:firstLineChars="200"/>
        <w:jc w:val="center"/>
        <w:rPr>
          <w:sz w:val="36"/>
          <w:szCs w:val="36"/>
          <w:lang w:val="ru-RU"/>
        </w:rPr>
      </w:pPr>
    </w:p>
    <w:p>
      <w:pPr>
        <w:widowControl/>
        <w:spacing w:line="360" w:lineRule="auto"/>
        <w:ind w:firstLine="720" w:firstLineChars="200"/>
        <w:jc w:val="center"/>
        <w:rPr>
          <w:sz w:val="36"/>
          <w:szCs w:val="36"/>
          <w:lang w:val="ru-RU"/>
        </w:rPr>
      </w:pPr>
    </w:p>
    <w:p>
      <w:pPr>
        <w:widowControl/>
        <w:spacing w:line="360" w:lineRule="auto"/>
        <w:ind w:firstLine="720" w:firstLineChars="200"/>
        <w:jc w:val="center"/>
        <w:rPr>
          <w:sz w:val="36"/>
          <w:szCs w:val="36"/>
          <w:lang w:val="ru-RU"/>
        </w:rPr>
      </w:pPr>
    </w:p>
    <w:p>
      <w:pPr>
        <w:widowControl/>
        <w:spacing w:line="360" w:lineRule="auto"/>
        <w:ind w:firstLine="720" w:firstLineChars="200"/>
        <w:jc w:val="center"/>
        <w:rPr>
          <w:sz w:val="36"/>
          <w:szCs w:val="36"/>
          <w:lang w:val="ru-RU"/>
        </w:rPr>
      </w:pPr>
    </w:p>
    <w:p>
      <w:pPr>
        <w:widowControl/>
        <w:spacing w:line="360" w:lineRule="auto"/>
        <w:jc w:val="left"/>
        <w:rPr>
          <w:sz w:val="36"/>
          <w:szCs w:val="36"/>
          <w:lang w:val="ru-RU"/>
        </w:rPr>
      </w:pPr>
    </w:p>
    <w:p>
      <w:pPr>
        <w:pStyle w:val="8"/>
        <w:rPr>
          <w:sz w:val="36"/>
          <w:szCs w:val="36"/>
          <w:lang w:val="ru-RU"/>
        </w:rPr>
      </w:pPr>
    </w:p>
    <w:p>
      <w:pPr>
        <w:rPr>
          <w:sz w:val="36"/>
          <w:szCs w:val="36"/>
          <w:lang w:val="ru-RU"/>
        </w:rPr>
      </w:pPr>
    </w:p>
    <w:p>
      <w:pPr>
        <w:pStyle w:val="8"/>
        <w:rPr>
          <w:sz w:val="36"/>
          <w:szCs w:val="36"/>
          <w:lang w:val="ru-RU"/>
        </w:rPr>
      </w:pPr>
    </w:p>
    <w:p>
      <w:pPr>
        <w:rPr>
          <w:sz w:val="36"/>
          <w:szCs w:val="36"/>
          <w:lang w:val="ru-RU"/>
        </w:rPr>
      </w:pPr>
    </w:p>
    <w:p>
      <w:pPr>
        <w:pStyle w:val="10"/>
        <w:rPr>
          <w:lang w:val="ru-RU"/>
        </w:rPr>
      </w:pPr>
    </w:p>
    <w:p>
      <w:pPr>
        <w:widowControl/>
        <w:spacing w:line="360" w:lineRule="auto"/>
        <w:jc w:val="both"/>
        <w:rPr>
          <w:sz w:val="36"/>
          <w:szCs w:val="36"/>
          <w:highlight w:val="none"/>
          <w:lang w:val="ru-RU"/>
        </w:rPr>
      </w:pPr>
    </w:p>
    <w:p>
      <w:pPr>
        <w:widowControl/>
        <w:spacing w:line="360" w:lineRule="auto"/>
        <w:jc w:val="center"/>
        <w:rPr>
          <w:sz w:val="36"/>
          <w:szCs w:val="36"/>
          <w:highlight w:val="none"/>
          <w:lang w:val="ru-RU"/>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upperRoman" w:start="1"/>
          <w:cols w:space="425" w:num="1"/>
          <w:docGrid w:type="lines" w:linePitch="312" w:charSpace="0"/>
        </w:sectPr>
      </w:pPr>
    </w:p>
    <w:p>
      <w:pPr>
        <w:widowControl/>
        <w:spacing w:line="360" w:lineRule="auto"/>
        <w:jc w:val="center"/>
        <w:rPr>
          <w:rFonts w:hint="eastAsia"/>
          <w:highlight w:val="none"/>
          <w:lang w:val="ru-RU"/>
        </w:rPr>
      </w:pPr>
      <w:r>
        <w:rPr>
          <w:sz w:val="36"/>
          <w:szCs w:val="36"/>
          <w:highlight w:val="none"/>
          <w:lang w:val="ru-RU"/>
        </w:rPr>
        <w:t>学</w:t>
      </w:r>
      <w:r>
        <w:rPr>
          <w:rFonts w:hint="eastAsia"/>
          <w:sz w:val="36"/>
          <w:szCs w:val="36"/>
          <w:highlight w:val="none"/>
          <w:lang w:val="en-US" w:eastAsia="zh-CN"/>
        </w:rPr>
        <w:t>校</w:t>
      </w:r>
      <w:r>
        <w:rPr>
          <w:rFonts w:hint="eastAsia"/>
          <w:sz w:val="36"/>
          <w:szCs w:val="36"/>
          <w:highlight w:val="none"/>
          <w:lang w:val="ru-RU"/>
        </w:rPr>
        <w:t>概况</w:t>
      </w:r>
    </w:p>
    <w:p>
      <w:pPr>
        <w:numPr>
          <w:ilvl w:val="0"/>
          <w:numId w:val="0"/>
        </w:numPr>
        <w:ind w:firstLine="560"/>
        <w:jc w:val="left"/>
        <w:rPr>
          <w:rFonts w:hint="eastAsia" w:cs="Times New Roman"/>
          <w:sz w:val="28"/>
          <w:szCs w:val="28"/>
          <w:lang w:val="en-US" w:eastAsia="zh-CN"/>
        </w:rPr>
      </w:pPr>
      <w:r>
        <w:rPr>
          <w:rFonts w:hint="eastAsia" w:cs="Times New Roman"/>
          <w:sz w:val="28"/>
          <w:szCs w:val="28"/>
          <w:lang w:val="en-US" w:eastAsia="zh-CN"/>
        </w:rPr>
        <w:t>邵阳职业技术学院坐落于邵阳市大祥区学院路，2003年经湖南省人民政府批准成立、国家教育部备案、邵阳市人民政府主办主管的全日制公办普通高等职业院校，是湖南省“楚怡”高水平高职学校建设单位、湖南省首批“楚怡工匠计划”职业本科专业试点学校、全国工商联产教融合实训示范基地、全国新型职业农民培训示范基地、“坦桑尼亚国家职业标准开发项目”认证单位。近年来，学校先后获评湖南省文明高校、湖南省文明校园、湖南省现代大学制度建设先进高校、湖南省铸牢中华民族共同体意识教育示范校、湖南省高等学校就业先进单位、湖南省乡村振兴人才培养优质高校、湖南省高校征兵工作先进单位、湖南省职业技能鉴定先进单位、湖南省贫困地区劳动力转移培训先进单位、湖南省大学生“三下乡”社会实践活动先进单位、邵阳市公众满意学校、邵阳市党风廉政建设先进单位、邵阳市民族团结进步教育示范单位等荣誉。</w:t>
      </w:r>
    </w:p>
    <w:p>
      <w:pPr>
        <w:numPr>
          <w:ilvl w:val="0"/>
          <w:numId w:val="0"/>
        </w:numPr>
        <w:ind w:firstLine="560"/>
        <w:jc w:val="left"/>
        <w:rPr>
          <w:rFonts w:hint="eastAsia" w:cs="Times New Roman"/>
          <w:sz w:val="28"/>
          <w:szCs w:val="28"/>
          <w:lang w:val="en-US" w:eastAsia="zh-CN"/>
        </w:rPr>
      </w:pPr>
      <w:r>
        <w:rPr>
          <w:rFonts w:hint="eastAsia" w:cs="Times New Roman"/>
          <w:sz w:val="28"/>
          <w:szCs w:val="28"/>
          <w:lang w:val="en-US" w:eastAsia="zh-CN"/>
        </w:rPr>
        <w:t>学校占地面积426880m2，总建筑面积203565m2，教学仪器设备总价值8500余万元。现有教职工478人，“双师型”教师198人。在籍在校学生12000余人，其中，本科学生100人。</w:t>
      </w:r>
    </w:p>
    <w:p>
      <w:pPr>
        <w:numPr>
          <w:ilvl w:val="0"/>
          <w:numId w:val="0"/>
        </w:numPr>
        <w:ind w:firstLine="560"/>
        <w:jc w:val="left"/>
        <w:rPr>
          <w:rFonts w:hint="eastAsia" w:cs="Times New Roman"/>
          <w:sz w:val="28"/>
          <w:szCs w:val="28"/>
          <w:lang w:val="en-US" w:eastAsia="zh-CN"/>
        </w:rPr>
      </w:pPr>
      <w:r>
        <w:rPr>
          <w:rFonts w:hint="eastAsia" w:cs="Times New Roman"/>
          <w:sz w:val="28"/>
          <w:szCs w:val="28"/>
          <w:lang w:val="en-US" w:eastAsia="zh-CN"/>
        </w:rPr>
        <w:t>学校设有电梯工程学院、汽车与智能制造学院、财会工商学院、生物工程学院、建筑工程学院、信息技术学院、艺术创意学院、继续教育与培训学院、马克思主义学院和公共课部等10个教学院（部），开设机电一体化技术、电梯工程技术、计算机应用技术、动物医学、工业机器人技术、服装与服饰设计、大数据与会计等23个专业，其中1个本科专业。</w:t>
      </w:r>
    </w:p>
    <w:p>
      <w:pPr>
        <w:numPr>
          <w:ilvl w:val="0"/>
          <w:numId w:val="0"/>
        </w:numPr>
        <w:ind w:firstLine="560"/>
        <w:jc w:val="left"/>
        <w:rPr>
          <w:rFonts w:hint="eastAsia" w:cs="Times New Roman"/>
          <w:sz w:val="28"/>
          <w:szCs w:val="28"/>
          <w:lang w:val="en-US" w:eastAsia="zh-CN"/>
        </w:rPr>
      </w:pPr>
      <w:r>
        <w:rPr>
          <w:rFonts w:hint="eastAsia" w:cs="Times New Roman"/>
          <w:sz w:val="28"/>
          <w:szCs w:val="28"/>
          <w:lang w:val="en-US" w:eastAsia="zh-CN"/>
        </w:rPr>
        <w:t>学校与大型企业共建5个产业学院。先后获得国家重点支持专业建设项目9个，省级重点项目60项。有教育部认定的高职骨干专业2个，高职技术协同创新技术中心1个，生产性实习实训基地1个。与迅达（中国）电梯、通力电梯、比亚迪汽车、三一重工等行业头部企业共建校内外实习实训基地60余个。</w:t>
      </w:r>
    </w:p>
    <w:p>
      <w:pPr>
        <w:numPr>
          <w:ilvl w:val="0"/>
          <w:numId w:val="0"/>
        </w:numPr>
        <w:ind w:firstLine="560"/>
        <w:jc w:val="left"/>
        <w:rPr>
          <w:rFonts w:hint="eastAsia" w:cs="Times New Roman"/>
          <w:sz w:val="28"/>
          <w:szCs w:val="28"/>
          <w:lang w:val="en-US" w:eastAsia="zh-CN"/>
        </w:rPr>
      </w:pPr>
      <w:r>
        <w:rPr>
          <w:rFonts w:hint="eastAsia" w:cs="Times New Roman"/>
          <w:sz w:val="28"/>
          <w:szCs w:val="28"/>
          <w:lang w:val="en-US" w:eastAsia="zh-CN"/>
        </w:rPr>
        <w:t>学校教育教学质量不断提升，省内外影响力大幅提高。“十三五”以来，学校获得教学大赛国家级奖42项，省级奖489项；2022年，学校三大国赛获奖排名列全国第294名，湖南省第19名。</w:t>
      </w:r>
    </w:p>
    <w:p>
      <w:pPr>
        <w:numPr>
          <w:ilvl w:val="0"/>
          <w:numId w:val="0"/>
        </w:numPr>
        <w:ind w:firstLine="560"/>
        <w:jc w:val="left"/>
        <w:rPr>
          <w:rFonts w:hint="eastAsia" w:cs="Times New Roman"/>
          <w:sz w:val="28"/>
          <w:szCs w:val="28"/>
          <w:lang w:val="en-US" w:eastAsia="zh-CN"/>
        </w:rPr>
      </w:pPr>
      <w:r>
        <w:rPr>
          <w:rFonts w:hint="eastAsia" w:cs="Times New Roman"/>
          <w:sz w:val="28"/>
          <w:szCs w:val="28"/>
          <w:lang w:val="en-US" w:eastAsia="zh-CN"/>
        </w:rPr>
        <w:t>学校坚持“立德树人”根本任务，秉承“明德、笃学、强能”的校训，践行“把学校当家园、把学生当亲人、把育人当事业”的邵职精神，坚持“质量是生命线，安全是底线，廉政是高压线”的管理理念，全面实施“创新发展、特色发展、错位发展”战略，服务区域经济社会发展和人民美好生活需要的能力不断提升，在社会上有较强的知名度、美誉度、公信度，影响力、吸引力不断提升。</w:t>
      </w:r>
    </w:p>
    <w:p>
      <w:pPr>
        <w:numPr>
          <w:ilvl w:val="0"/>
          <w:numId w:val="0"/>
        </w:numPr>
        <w:ind w:firstLine="560"/>
        <w:jc w:val="left"/>
        <w:rPr>
          <w:rFonts w:hint="eastAsia"/>
          <w:lang w:val="ru-RU"/>
        </w:rPr>
      </w:pPr>
      <w:r>
        <w:rPr>
          <w:rFonts w:hint="eastAsia" w:cs="Times New Roman"/>
          <w:sz w:val="28"/>
          <w:szCs w:val="28"/>
          <w:lang w:val="en-US" w:eastAsia="zh-CN"/>
        </w:rPr>
        <w:t>学校正站在新的历史起点，坚持以习近平新时代中国特色社会主义思想为指导，致力于建设成为湘西南地区紧密对接区域经济与社会发展、集团化办学优势明显、科研与社会服务能力较强、国际化人才培养有成效、满足当地经济社会发展和人民美好生活需要并有较强影响力的区域强校，扎实推进“党建质量提升、队伍素质提升、治理能力提升、办学条件提升”，不断实现学校高质量发展，为社会主义现代化建设培养更多高素质技能人才贡献力量。</w:t>
      </w:r>
    </w:p>
    <w:p>
      <w:pPr>
        <w:numPr>
          <w:ilvl w:val="0"/>
          <w:numId w:val="1"/>
        </w:numPr>
        <w:jc w:val="center"/>
        <w:rPr>
          <w:rFonts w:hint="default"/>
          <w:sz w:val="36"/>
          <w:szCs w:val="36"/>
          <w:highlight w:val="none"/>
          <w:lang w:val="en-US" w:eastAsia="zh-CN"/>
        </w:rPr>
      </w:pPr>
      <w:r>
        <w:rPr>
          <w:rFonts w:hint="eastAsia"/>
          <w:sz w:val="36"/>
          <w:szCs w:val="36"/>
          <w:highlight w:val="none"/>
          <w:lang w:val="en-US" w:eastAsia="zh-CN"/>
        </w:rPr>
        <w:t xml:space="preserve"> 毕业生生源及毕业去向</w:t>
      </w:r>
    </w:p>
    <w:p>
      <w:pPr>
        <w:ind w:firstLine="560"/>
        <w:rPr>
          <w:rFonts w:hint="eastAsia"/>
          <w:sz w:val="28"/>
          <w:szCs w:val="28"/>
          <w:highlight w:val="none"/>
          <w:lang w:val="en-US" w:eastAsia="zh-CN"/>
        </w:rPr>
      </w:pPr>
      <w:r>
        <w:rPr>
          <w:rFonts w:hint="eastAsia"/>
          <w:sz w:val="28"/>
          <w:szCs w:val="28"/>
          <w:highlight w:val="none"/>
          <w:lang w:val="en-US" w:eastAsia="zh-CN"/>
        </w:rPr>
        <w:t>毕业生就业基本情况主要从毕业生规模及结构、毕业生就业类型两个方面进行分析。</w:t>
      </w:r>
    </w:p>
    <w:p>
      <w:pPr>
        <w:numPr>
          <w:ilvl w:val="0"/>
          <w:numId w:val="2"/>
        </w:numPr>
        <w:ind w:left="0" w:leftChars="0" w:firstLineChars="0"/>
        <w:rPr>
          <w:rFonts w:hint="eastAsia"/>
          <w:sz w:val="28"/>
          <w:szCs w:val="28"/>
          <w:highlight w:val="none"/>
          <w:lang w:val="en-US" w:eastAsia="zh-CN"/>
        </w:rPr>
      </w:pPr>
      <w:r>
        <w:rPr>
          <w:rFonts w:hint="eastAsia"/>
          <w:sz w:val="28"/>
          <w:szCs w:val="28"/>
          <w:highlight w:val="none"/>
          <w:lang w:val="en-US" w:eastAsia="zh-CN"/>
        </w:rPr>
        <w:t>毕业生规模及结构</w:t>
      </w:r>
    </w:p>
    <w:p>
      <w:pPr>
        <w:ind w:firstLine="0" w:firstLineChars="0"/>
        <w:rPr>
          <w:rFonts w:hint="eastAsia" w:eastAsia="宋体"/>
          <w:sz w:val="28"/>
          <w:szCs w:val="28"/>
          <w:highlight w:val="none"/>
          <w:lang w:val="en-US" w:eastAsia="zh-CN"/>
        </w:rPr>
      </w:pPr>
      <w:r>
        <w:rPr>
          <w:rFonts w:hint="eastAsia"/>
          <w:sz w:val="28"/>
          <w:szCs w:val="28"/>
          <w:highlight w:val="none"/>
          <w:lang w:val="ru-RU"/>
        </w:rPr>
        <w:t>（一）毕业生规模</w:t>
      </w:r>
      <w:r>
        <w:rPr>
          <w:rFonts w:hint="eastAsia"/>
          <w:sz w:val="28"/>
          <w:szCs w:val="28"/>
          <w:highlight w:val="none"/>
          <w:lang w:val="en-US" w:eastAsia="zh-CN"/>
        </w:rPr>
        <w:t>及</w:t>
      </w:r>
      <w:r>
        <w:rPr>
          <w:rFonts w:hint="eastAsia"/>
          <w:sz w:val="28"/>
          <w:szCs w:val="28"/>
          <w:highlight w:val="none"/>
          <w:lang w:val="ru-RU"/>
        </w:rPr>
        <w:t>性别</w:t>
      </w:r>
      <w:r>
        <w:rPr>
          <w:rFonts w:hint="eastAsia"/>
          <w:sz w:val="28"/>
          <w:szCs w:val="28"/>
          <w:highlight w:val="none"/>
          <w:lang w:val="en-US" w:eastAsia="zh-CN"/>
        </w:rPr>
        <w:t>分别</w:t>
      </w:r>
    </w:p>
    <w:p>
      <w:pPr>
        <w:ind w:firstLine="560" w:firstLineChars="200"/>
        <w:rPr>
          <w:rFonts w:hint="default" w:eastAsia="宋体"/>
          <w:sz w:val="28"/>
          <w:szCs w:val="28"/>
          <w:highlight w:val="none"/>
          <w:lang w:val="en-US" w:eastAsia="zh-CN"/>
        </w:rPr>
      </w:pPr>
      <w:r>
        <w:rPr>
          <w:rFonts w:hint="eastAsia"/>
          <w:sz w:val="28"/>
          <w:szCs w:val="28"/>
          <w:highlight w:val="none"/>
          <w:lang w:val="en-US" w:eastAsia="zh-CN"/>
        </w:rPr>
        <w:t>2023</w:t>
      </w:r>
      <w:r>
        <w:rPr>
          <w:rFonts w:hint="eastAsia"/>
          <w:sz w:val="28"/>
          <w:szCs w:val="28"/>
          <w:highlight w:val="none"/>
          <w:lang w:val="ru-RU"/>
        </w:rPr>
        <w:t>届毕业生共</w:t>
      </w:r>
      <w:r>
        <w:rPr>
          <w:rFonts w:hint="eastAsia"/>
          <w:sz w:val="28"/>
          <w:szCs w:val="28"/>
          <w:highlight w:val="none"/>
          <w:lang w:val="en-US" w:eastAsia="zh-CN"/>
        </w:rPr>
        <w:t>4022</w:t>
      </w:r>
      <w:r>
        <w:rPr>
          <w:rFonts w:hint="eastAsia"/>
          <w:sz w:val="28"/>
          <w:szCs w:val="28"/>
          <w:highlight w:val="none"/>
          <w:lang w:val="ru-RU"/>
        </w:rPr>
        <w:t>人，</w:t>
      </w:r>
      <w:r>
        <w:rPr>
          <w:rFonts w:hint="eastAsia"/>
          <w:sz w:val="28"/>
          <w:szCs w:val="28"/>
          <w:highlight w:val="none"/>
          <w:lang w:val="en-US" w:eastAsia="zh-CN"/>
        </w:rPr>
        <w:t>男女比2.15:1，</w:t>
      </w:r>
      <w:r>
        <w:rPr>
          <w:rFonts w:hint="eastAsia"/>
          <w:sz w:val="28"/>
          <w:szCs w:val="28"/>
          <w:highlight w:val="none"/>
          <w:lang w:val="ru-RU"/>
        </w:rPr>
        <w:t>其中男性毕业</w:t>
      </w:r>
      <w:r>
        <w:rPr>
          <w:rFonts w:hint="eastAsia"/>
          <w:sz w:val="28"/>
          <w:szCs w:val="28"/>
          <w:highlight w:val="none"/>
          <w:lang w:val="en-US" w:eastAsia="zh-CN"/>
        </w:rPr>
        <w:t xml:space="preserve">生2747   </w:t>
      </w:r>
      <w:r>
        <w:rPr>
          <w:rFonts w:hint="eastAsia"/>
          <w:sz w:val="28"/>
          <w:szCs w:val="28"/>
          <w:highlight w:val="none"/>
          <w:lang w:val="ru-RU"/>
        </w:rPr>
        <w:t>人，占</w:t>
      </w:r>
      <w:r>
        <w:rPr>
          <w:rFonts w:hint="eastAsia"/>
          <w:sz w:val="28"/>
          <w:szCs w:val="28"/>
          <w:highlight w:val="none"/>
          <w:lang w:val="en-US" w:eastAsia="zh-CN"/>
        </w:rPr>
        <w:t>比68.30</w:t>
      </w:r>
      <w:r>
        <w:rPr>
          <w:sz w:val="28"/>
          <w:szCs w:val="28"/>
          <w:highlight w:val="none"/>
        </w:rPr>
        <w:t>%</w:t>
      </w:r>
      <w:r>
        <w:rPr>
          <w:rFonts w:hint="eastAsia"/>
          <w:sz w:val="28"/>
          <w:szCs w:val="28"/>
          <w:highlight w:val="none"/>
        </w:rPr>
        <w:t>；女性毕业生</w:t>
      </w:r>
      <w:r>
        <w:rPr>
          <w:rFonts w:hint="eastAsia"/>
          <w:sz w:val="28"/>
          <w:szCs w:val="28"/>
          <w:highlight w:val="none"/>
          <w:lang w:val="en-US" w:eastAsia="zh-CN"/>
        </w:rPr>
        <w:t>1275</w:t>
      </w:r>
      <w:r>
        <w:rPr>
          <w:rFonts w:hint="eastAsia"/>
          <w:sz w:val="28"/>
          <w:szCs w:val="28"/>
          <w:highlight w:val="none"/>
        </w:rPr>
        <w:t>人，占</w:t>
      </w:r>
      <w:r>
        <w:rPr>
          <w:rFonts w:hint="eastAsia"/>
          <w:sz w:val="28"/>
          <w:szCs w:val="28"/>
          <w:highlight w:val="none"/>
          <w:lang w:val="en-US" w:eastAsia="zh-CN"/>
        </w:rPr>
        <w:t>比31.70</w:t>
      </w:r>
      <w:r>
        <w:rPr>
          <w:sz w:val="28"/>
          <w:szCs w:val="28"/>
          <w:highlight w:val="none"/>
        </w:rPr>
        <w:t>%</w:t>
      </w:r>
      <w:r>
        <w:rPr>
          <w:rFonts w:hint="eastAsia"/>
          <w:sz w:val="28"/>
          <w:szCs w:val="28"/>
          <w:highlight w:val="none"/>
        </w:rPr>
        <w:t>。</w:t>
      </w:r>
    </w:p>
    <w:p>
      <w:pPr>
        <w:rPr>
          <w:sz w:val="28"/>
          <w:szCs w:val="28"/>
          <w:highlight w:val="none"/>
        </w:rPr>
      </w:pPr>
      <w:r>
        <w:rPr>
          <w:sz w:val="28"/>
          <w:szCs w:val="28"/>
          <w:highlight w:val="none"/>
        </w:rPr>
        <w:drawing>
          <wp:inline distT="0" distB="0" distL="0" distR="0">
            <wp:extent cx="5274310" cy="3076575"/>
            <wp:effectExtent l="5080" t="4445" r="16510" b="508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center"/>
        <w:rPr>
          <w:rFonts w:hint="eastAsia"/>
          <w:szCs w:val="21"/>
          <w:highlight w:val="none"/>
          <w:lang w:val="ru-RU"/>
        </w:rPr>
      </w:pPr>
      <w:r>
        <w:rPr>
          <w:rFonts w:hint="eastAsia"/>
          <w:szCs w:val="21"/>
          <w:highlight w:val="none"/>
          <w:lang w:val="ru-RU"/>
        </w:rPr>
        <w:t>图</w:t>
      </w:r>
      <w:r>
        <w:rPr>
          <w:szCs w:val="21"/>
          <w:highlight w:val="none"/>
          <w:lang w:val="ru-RU"/>
        </w:rPr>
        <w:t xml:space="preserve"> 1-1</w:t>
      </w:r>
      <w:r>
        <w:rPr>
          <w:rFonts w:hint="eastAsia"/>
          <w:szCs w:val="21"/>
          <w:highlight w:val="none"/>
          <w:lang w:val="en-US" w:eastAsia="zh-CN"/>
        </w:rPr>
        <w:t xml:space="preserve"> </w:t>
      </w:r>
      <w:r>
        <w:rPr>
          <w:szCs w:val="21"/>
          <w:highlight w:val="none"/>
          <w:lang w:val="ru-RU"/>
        </w:rPr>
        <w:t xml:space="preserve"> </w:t>
      </w:r>
      <w:r>
        <w:rPr>
          <w:rFonts w:hint="eastAsia"/>
          <w:szCs w:val="21"/>
          <w:highlight w:val="none"/>
          <w:lang w:val="en-US" w:eastAsia="zh-CN"/>
        </w:rPr>
        <w:t>2023</w:t>
      </w:r>
      <w:r>
        <w:rPr>
          <w:rFonts w:hint="eastAsia"/>
          <w:szCs w:val="21"/>
          <w:highlight w:val="none"/>
          <w:lang w:val="ru-RU"/>
        </w:rPr>
        <w:t>届毕业生规模与性别结构</w:t>
      </w:r>
    </w:p>
    <w:p>
      <w:pPr>
        <w:pStyle w:val="6"/>
        <w:rPr>
          <w:lang w:val="ru-RU"/>
        </w:rPr>
      </w:pPr>
    </w:p>
    <w:p>
      <w:pPr>
        <w:numPr>
          <w:ilvl w:val="0"/>
          <w:numId w:val="3"/>
        </w:numPr>
        <w:ind w:firstLine="0" w:firstLineChars="0"/>
        <w:jc w:val="left"/>
        <w:rPr>
          <w:rFonts w:hint="eastAsia"/>
          <w:sz w:val="28"/>
          <w:szCs w:val="28"/>
          <w:highlight w:val="none"/>
          <w:lang w:val="en-US" w:eastAsia="zh-CN"/>
        </w:rPr>
      </w:pPr>
      <w:r>
        <w:rPr>
          <w:rFonts w:hint="eastAsia"/>
          <w:sz w:val="28"/>
          <w:szCs w:val="28"/>
          <w:highlight w:val="none"/>
          <w:lang w:val="en-US" w:eastAsia="zh-CN"/>
        </w:rPr>
        <w:t>毕业生结构分布</w:t>
      </w:r>
    </w:p>
    <w:p>
      <w:pPr>
        <w:numPr>
          <w:ilvl w:val="0"/>
          <w:numId w:val="0"/>
        </w:numPr>
        <w:ind w:firstLine="560"/>
        <w:jc w:val="left"/>
        <w:rPr>
          <w:rFonts w:hint="eastAsia"/>
          <w:sz w:val="28"/>
          <w:szCs w:val="28"/>
          <w:highlight w:val="none"/>
          <w:lang w:val="en-US" w:eastAsia="zh-CN"/>
        </w:rPr>
      </w:pPr>
      <w:r>
        <w:rPr>
          <w:rFonts w:hint="eastAsia"/>
          <w:sz w:val="28"/>
          <w:szCs w:val="28"/>
          <w:highlight w:val="none"/>
          <w:lang w:val="en-US" w:eastAsia="zh-CN"/>
        </w:rPr>
        <w:t>2023届毕业生结构分别从毕业生专业结构、省份结构、民族结构、政治面貌结构和困难生类别结构五个方面进行分析。</w:t>
      </w:r>
    </w:p>
    <w:p>
      <w:pPr>
        <w:numPr>
          <w:ilvl w:val="0"/>
          <w:numId w:val="0"/>
        </w:numPr>
        <w:ind w:firstLine="0"/>
        <w:jc w:val="left"/>
        <w:rPr>
          <w:rFonts w:hint="default"/>
          <w:sz w:val="28"/>
          <w:szCs w:val="28"/>
          <w:highlight w:val="none"/>
          <w:lang w:val="en-US" w:eastAsia="zh-CN"/>
        </w:rPr>
      </w:pPr>
      <w:r>
        <w:rPr>
          <w:rFonts w:hint="eastAsia"/>
          <w:sz w:val="28"/>
          <w:szCs w:val="28"/>
          <w:highlight w:val="none"/>
          <w:lang w:val="en-US" w:eastAsia="zh-CN"/>
        </w:rPr>
        <w:t>1.专业结构</w:t>
      </w:r>
    </w:p>
    <w:p>
      <w:pPr>
        <w:ind w:firstLine="560" w:firstLineChars="200"/>
        <w:jc w:val="left"/>
        <w:rPr>
          <w:sz w:val="28"/>
          <w:szCs w:val="28"/>
          <w:highlight w:val="none"/>
          <w:lang w:val="ru-RU"/>
        </w:rPr>
      </w:pPr>
      <w:r>
        <w:rPr>
          <w:sz w:val="28"/>
          <w:szCs w:val="28"/>
          <w:highlight w:val="none"/>
          <w:lang w:val="ru-RU"/>
        </w:rPr>
        <w:t>20</w:t>
      </w:r>
      <w:r>
        <w:rPr>
          <w:rFonts w:hint="eastAsia"/>
          <w:sz w:val="28"/>
          <w:szCs w:val="28"/>
          <w:highlight w:val="none"/>
          <w:lang w:val="en-US" w:eastAsia="zh-CN"/>
        </w:rPr>
        <w:t>23</w:t>
      </w:r>
      <w:r>
        <w:rPr>
          <w:rFonts w:hint="eastAsia"/>
          <w:sz w:val="28"/>
          <w:szCs w:val="28"/>
          <w:highlight w:val="none"/>
          <w:lang w:val="ru-RU"/>
        </w:rPr>
        <w:t>届毕业生分布在</w:t>
      </w:r>
      <w:r>
        <w:rPr>
          <w:rFonts w:hint="eastAsia"/>
          <w:sz w:val="28"/>
          <w:szCs w:val="28"/>
          <w:highlight w:val="none"/>
          <w:lang w:val="en-US" w:eastAsia="zh-CN"/>
        </w:rPr>
        <w:t>7</w:t>
      </w:r>
      <w:r>
        <w:rPr>
          <w:rFonts w:hint="eastAsia"/>
          <w:sz w:val="28"/>
          <w:szCs w:val="28"/>
          <w:highlight w:val="none"/>
          <w:lang w:val="ru-RU"/>
        </w:rPr>
        <w:t>个</w:t>
      </w:r>
      <w:r>
        <w:rPr>
          <w:rFonts w:hint="eastAsia"/>
          <w:sz w:val="28"/>
          <w:szCs w:val="28"/>
          <w:highlight w:val="none"/>
          <w:lang w:val="en-US" w:eastAsia="zh-CN"/>
        </w:rPr>
        <w:t>二级学院</w:t>
      </w:r>
      <w:r>
        <w:rPr>
          <w:rFonts w:hint="eastAsia"/>
          <w:sz w:val="28"/>
          <w:szCs w:val="28"/>
          <w:highlight w:val="none"/>
          <w:lang w:val="ru-RU"/>
        </w:rPr>
        <w:t>，</w:t>
      </w:r>
      <w:r>
        <w:rPr>
          <w:rFonts w:hint="eastAsia"/>
          <w:sz w:val="28"/>
          <w:szCs w:val="28"/>
          <w:highlight w:val="none"/>
          <w:lang w:val="en-US" w:eastAsia="zh-CN"/>
        </w:rPr>
        <w:t>毕业生人数排名前三的学院为：财会工商学院</w:t>
      </w:r>
      <w:r>
        <w:rPr>
          <w:rFonts w:hint="eastAsia"/>
          <w:sz w:val="28"/>
          <w:szCs w:val="28"/>
          <w:highlight w:val="none"/>
          <w:lang w:val="ru-RU" w:eastAsia="zh-CN"/>
        </w:rPr>
        <w:t>（</w:t>
      </w:r>
      <w:r>
        <w:rPr>
          <w:rFonts w:hint="eastAsia"/>
          <w:sz w:val="28"/>
          <w:szCs w:val="28"/>
          <w:highlight w:val="none"/>
          <w:lang w:val="en-US" w:eastAsia="zh-CN"/>
        </w:rPr>
        <w:t>745</w:t>
      </w:r>
      <w:r>
        <w:rPr>
          <w:rFonts w:hint="eastAsia"/>
          <w:sz w:val="28"/>
          <w:szCs w:val="28"/>
          <w:highlight w:val="none"/>
          <w:lang w:val="ru-RU"/>
        </w:rPr>
        <w:t>人，占比</w:t>
      </w:r>
      <w:r>
        <w:rPr>
          <w:rFonts w:hint="eastAsia"/>
          <w:sz w:val="28"/>
          <w:szCs w:val="28"/>
          <w:highlight w:val="none"/>
          <w:lang w:val="en-US" w:eastAsia="zh-CN"/>
        </w:rPr>
        <w:t>18.52</w:t>
      </w:r>
      <w:r>
        <w:rPr>
          <w:sz w:val="28"/>
          <w:szCs w:val="28"/>
          <w:highlight w:val="none"/>
          <w:lang w:val="ru-RU"/>
        </w:rPr>
        <w:t>%</w:t>
      </w:r>
      <w:r>
        <w:rPr>
          <w:rFonts w:hint="eastAsia"/>
          <w:sz w:val="28"/>
          <w:szCs w:val="28"/>
          <w:highlight w:val="none"/>
          <w:lang w:val="ru-RU" w:eastAsia="zh-CN"/>
        </w:rPr>
        <w:t>）、</w:t>
      </w:r>
      <w:r>
        <w:rPr>
          <w:rFonts w:hint="eastAsia"/>
          <w:sz w:val="28"/>
          <w:szCs w:val="28"/>
          <w:highlight w:val="none"/>
          <w:lang w:val="en-US" w:eastAsia="zh-CN"/>
        </w:rPr>
        <w:t>建筑工程学院</w:t>
      </w:r>
      <w:r>
        <w:rPr>
          <w:rFonts w:hint="eastAsia"/>
          <w:sz w:val="28"/>
          <w:szCs w:val="28"/>
          <w:highlight w:val="none"/>
          <w:lang w:val="ru-RU" w:eastAsia="zh-CN"/>
        </w:rPr>
        <w:t>（</w:t>
      </w:r>
      <w:r>
        <w:rPr>
          <w:rFonts w:hint="eastAsia"/>
          <w:sz w:val="28"/>
          <w:szCs w:val="28"/>
          <w:highlight w:val="none"/>
          <w:lang w:val="en-US" w:eastAsia="zh-CN"/>
        </w:rPr>
        <w:t>718</w:t>
      </w:r>
      <w:r>
        <w:rPr>
          <w:rFonts w:hint="eastAsia"/>
          <w:sz w:val="28"/>
          <w:szCs w:val="28"/>
          <w:highlight w:val="none"/>
          <w:lang w:val="ru-RU"/>
        </w:rPr>
        <w:t>人，占比</w:t>
      </w:r>
      <w:r>
        <w:rPr>
          <w:rFonts w:hint="eastAsia"/>
          <w:sz w:val="28"/>
          <w:szCs w:val="28"/>
          <w:highlight w:val="none"/>
          <w:lang w:val="en-US" w:eastAsia="zh-CN"/>
        </w:rPr>
        <w:t>17.85</w:t>
      </w:r>
      <w:r>
        <w:rPr>
          <w:sz w:val="28"/>
          <w:szCs w:val="28"/>
          <w:highlight w:val="none"/>
          <w:lang w:val="ru-RU"/>
        </w:rPr>
        <w:t>%</w:t>
      </w:r>
      <w:r>
        <w:rPr>
          <w:rFonts w:hint="eastAsia"/>
          <w:sz w:val="28"/>
          <w:szCs w:val="28"/>
          <w:highlight w:val="none"/>
          <w:lang w:val="ru-RU" w:eastAsia="zh-CN"/>
        </w:rPr>
        <w:t>）、</w:t>
      </w:r>
      <w:r>
        <w:rPr>
          <w:rFonts w:hint="eastAsia"/>
          <w:sz w:val="28"/>
          <w:szCs w:val="28"/>
          <w:highlight w:val="none"/>
          <w:lang w:val="en-US" w:eastAsia="zh-CN"/>
        </w:rPr>
        <w:t>艺术创意学院</w:t>
      </w:r>
      <w:r>
        <w:rPr>
          <w:rFonts w:hint="eastAsia"/>
          <w:sz w:val="28"/>
          <w:szCs w:val="28"/>
          <w:highlight w:val="none"/>
          <w:lang w:val="ru-RU" w:eastAsia="zh-CN"/>
        </w:rPr>
        <w:t>（</w:t>
      </w:r>
      <w:r>
        <w:rPr>
          <w:rFonts w:hint="eastAsia"/>
          <w:sz w:val="28"/>
          <w:szCs w:val="28"/>
          <w:highlight w:val="none"/>
          <w:lang w:val="en-US" w:eastAsia="zh-CN"/>
        </w:rPr>
        <w:t>713</w:t>
      </w:r>
      <w:r>
        <w:rPr>
          <w:rFonts w:hint="eastAsia"/>
          <w:sz w:val="28"/>
          <w:szCs w:val="28"/>
          <w:highlight w:val="none"/>
          <w:lang w:val="ru-RU"/>
        </w:rPr>
        <w:t>人，占比</w:t>
      </w:r>
      <w:r>
        <w:rPr>
          <w:rFonts w:hint="eastAsia"/>
          <w:sz w:val="28"/>
          <w:szCs w:val="28"/>
          <w:highlight w:val="none"/>
          <w:lang w:val="en-US" w:eastAsia="zh-CN"/>
        </w:rPr>
        <w:t>17.73</w:t>
      </w:r>
      <w:r>
        <w:rPr>
          <w:rFonts w:hint="eastAsia"/>
          <w:sz w:val="28"/>
          <w:szCs w:val="28"/>
          <w:highlight w:val="none"/>
          <w:lang w:val="ru-RU"/>
        </w:rPr>
        <w:t>%</w:t>
      </w:r>
      <w:r>
        <w:rPr>
          <w:rFonts w:hint="eastAsia"/>
          <w:sz w:val="28"/>
          <w:szCs w:val="28"/>
          <w:highlight w:val="none"/>
          <w:lang w:val="ru-RU" w:eastAsia="zh-CN"/>
        </w:rPr>
        <w:t>）</w:t>
      </w:r>
      <w:r>
        <w:rPr>
          <w:rFonts w:hint="eastAsia"/>
          <w:sz w:val="28"/>
          <w:szCs w:val="28"/>
          <w:highlight w:val="none"/>
          <w:lang w:val="ru-RU"/>
        </w:rPr>
        <w:t>。</w:t>
      </w:r>
    </w:p>
    <w:p>
      <w:pPr>
        <w:ind w:firstLine="560" w:firstLineChars="200"/>
        <w:jc w:val="left"/>
        <w:rPr>
          <w:sz w:val="28"/>
          <w:szCs w:val="28"/>
          <w:highlight w:val="none"/>
          <w:lang w:val="ru-RU"/>
        </w:rPr>
      </w:pPr>
      <w:r>
        <w:rPr>
          <w:rFonts w:hint="eastAsia"/>
          <w:sz w:val="28"/>
          <w:szCs w:val="28"/>
          <w:highlight w:val="none"/>
          <w:lang w:val="en-US" w:eastAsia="zh-CN"/>
        </w:rPr>
        <w:t>2023</w:t>
      </w:r>
      <w:r>
        <w:rPr>
          <w:rFonts w:hint="eastAsia"/>
          <w:sz w:val="28"/>
          <w:szCs w:val="28"/>
          <w:highlight w:val="none"/>
          <w:lang w:val="ru-RU"/>
        </w:rPr>
        <w:t>届毕业生分布在</w:t>
      </w:r>
      <w:r>
        <w:rPr>
          <w:rFonts w:hint="eastAsia"/>
          <w:sz w:val="28"/>
          <w:szCs w:val="28"/>
          <w:highlight w:val="none"/>
          <w:lang w:val="en-US" w:eastAsia="zh-CN"/>
        </w:rPr>
        <w:t>21</w:t>
      </w:r>
      <w:r>
        <w:rPr>
          <w:rFonts w:hint="eastAsia"/>
          <w:sz w:val="28"/>
          <w:szCs w:val="28"/>
          <w:highlight w:val="none"/>
          <w:lang w:val="ru-RU"/>
        </w:rPr>
        <w:t>个专业中，人数排名前五的分别是</w:t>
      </w:r>
      <w:r>
        <w:rPr>
          <w:rFonts w:hint="eastAsia"/>
          <w:sz w:val="28"/>
          <w:szCs w:val="28"/>
          <w:highlight w:val="none"/>
          <w:lang w:val="en-US" w:eastAsia="zh-CN"/>
        </w:rPr>
        <w:t>建筑工程技术</w:t>
      </w:r>
      <w:r>
        <w:rPr>
          <w:rFonts w:hint="eastAsia"/>
          <w:sz w:val="28"/>
          <w:szCs w:val="28"/>
          <w:highlight w:val="none"/>
          <w:lang w:val="ru-RU"/>
        </w:rPr>
        <w:t>专业（</w:t>
      </w:r>
      <w:r>
        <w:rPr>
          <w:rFonts w:hint="eastAsia"/>
          <w:sz w:val="28"/>
          <w:szCs w:val="28"/>
          <w:highlight w:val="none"/>
          <w:lang w:val="en-US" w:eastAsia="zh-CN"/>
        </w:rPr>
        <w:t>496</w:t>
      </w:r>
      <w:r>
        <w:rPr>
          <w:rFonts w:hint="eastAsia"/>
          <w:sz w:val="28"/>
          <w:szCs w:val="28"/>
          <w:highlight w:val="none"/>
          <w:lang w:val="ru-RU"/>
        </w:rPr>
        <w:t>人</w:t>
      </w:r>
      <w:r>
        <w:rPr>
          <w:rFonts w:hint="eastAsia"/>
          <w:sz w:val="28"/>
          <w:szCs w:val="28"/>
          <w:highlight w:val="none"/>
          <w:lang w:val="ru-RU" w:eastAsia="zh-CN"/>
        </w:rPr>
        <w:t>，</w:t>
      </w:r>
      <w:r>
        <w:rPr>
          <w:rFonts w:hint="eastAsia"/>
          <w:sz w:val="28"/>
          <w:szCs w:val="28"/>
          <w:highlight w:val="none"/>
          <w:lang w:val="en-US" w:eastAsia="zh-CN"/>
        </w:rPr>
        <w:t>12.33</w:t>
      </w:r>
      <w:r>
        <w:rPr>
          <w:sz w:val="28"/>
          <w:szCs w:val="28"/>
          <w:highlight w:val="none"/>
          <w:lang w:val="ru-RU"/>
        </w:rPr>
        <w:t>%</w:t>
      </w:r>
      <w:r>
        <w:rPr>
          <w:rFonts w:hint="eastAsia"/>
          <w:sz w:val="28"/>
          <w:szCs w:val="28"/>
          <w:highlight w:val="none"/>
          <w:lang w:val="ru-RU"/>
        </w:rPr>
        <w:t>）</w:t>
      </w:r>
      <w:r>
        <w:rPr>
          <w:rFonts w:hint="eastAsia"/>
          <w:sz w:val="28"/>
          <w:szCs w:val="28"/>
          <w:highlight w:val="none"/>
          <w:lang w:val="ru-RU" w:eastAsia="zh-CN"/>
        </w:rPr>
        <w:t>、</w:t>
      </w:r>
      <w:r>
        <w:rPr>
          <w:rFonts w:hint="eastAsia"/>
          <w:sz w:val="28"/>
          <w:szCs w:val="28"/>
          <w:highlight w:val="none"/>
          <w:lang w:val="en-US" w:eastAsia="zh-CN"/>
        </w:rPr>
        <w:t>计算机应用技术</w:t>
      </w:r>
      <w:r>
        <w:rPr>
          <w:rFonts w:hint="eastAsia"/>
          <w:sz w:val="28"/>
          <w:szCs w:val="28"/>
          <w:highlight w:val="none"/>
          <w:lang w:val="ru-RU"/>
        </w:rPr>
        <w:t>专业（</w:t>
      </w:r>
      <w:r>
        <w:rPr>
          <w:rFonts w:hint="eastAsia"/>
          <w:sz w:val="28"/>
          <w:szCs w:val="28"/>
          <w:highlight w:val="none"/>
          <w:lang w:val="en-US" w:eastAsia="zh-CN"/>
        </w:rPr>
        <w:t>477</w:t>
      </w:r>
      <w:r>
        <w:rPr>
          <w:rFonts w:hint="eastAsia"/>
          <w:sz w:val="28"/>
          <w:szCs w:val="28"/>
          <w:highlight w:val="none"/>
          <w:lang w:val="ru-RU"/>
        </w:rPr>
        <w:t>人，</w:t>
      </w:r>
      <w:r>
        <w:rPr>
          <w:rFonts w:hint="eastAsia"/>
          <w:sz w:val="28"/>
          <w:szCs w:val="28"/>
          <w:highlight w:val="none"/>
          <w:lang w:val="en-US" w:eastAsia="zh-CN"/>
        </w:rPr>
        <w:t>11.86</w:t>
      </w:r>
      <w:r>
        <w:rPr>
          <w:sz w:val="28"/>
          <w:szCs w:val="28"/>
          <w:highlight w:val="none"/>
          <w:lang w:val="ru-RU"/>
        </w:rPr>
        <w:t>%</w:t>
      </w:r>
      <w:r>
        <w:rPr>
          <w:rFonts w:hint="eastAsia"/>
          <w:sz w:val="28"/>
          <w:szCs w:val="28"/>
          <w:highlight w:val="none"/>
          <w:lang w:val="ru-RU"/>
        </w:rPr>
        <w:t>）</w:t>
      </w:r>
      <w:r>
        <w:rPr>
          <w:rFonts w:hint="eastAsia"/>
          <w:sz w:val="28"/>
          <w:szCs w:val="28"/>
          <w:highlight w:val="none"/>
          <w:lang w:val="en-US" w:eastAsia="zh-CN"/>
        </w:rPr>
        <w:t>、电子商务</w:t>
      </w:r>
      <w:r>
        <w:rPr>
          <w:rFonts w:hint="eastAsia"/>
          <w:sz w:val="28"/>
          <w:szCs w:val="28"/>
          <w:highlight w:val="none"/>
          <w:lang w:val="ru-RU"/>
        </w:rPr>
        <w:t>专业（</w:t>
      </w:r>
      <w:r>
        <w:rPr>
          <w:rFonts w:hint="eastAsia"/>
          <w:sz w:val="28"/>
          <w:szCs w:val="28"/>
          <w:highlight w:val="none"/>
          <w:lang w:val="en-US" w:eastAsia="zh-CN"/>
        </w:rPr>
        <w:t>433</w:t>
      </w:r>
      <w:r>
        <w:rPr>
          <w:rFonts w:hint="eastAsia"/>
          <w:sz w:val="28"/>
          <w:szCs w:val="28"/>
          <w:highlight w:val="none"/>
          <w:lang w:val="ru-RU"/>
        </w:rPr>
        <w:t>人，</w:t>
      </w:r>
      <w:r>
        <w:rPr>
          <w:rFonts w:hint="eastAsia"/>
          <w:sz w:val="28"/>
          <w:szCs w:val="28"/>
          <w:highlight w:val="none"/>
          <w:lang w:val="en-US" w:eastAsia="zh-CN"/>
        </w:rPr>
        <w:t>10.77</w:t>
      </w:r>
      <w:r>
        <w:rPr>
          <w:sz w:val="28"/>
          <w:szCs w:val="28"/>
          <w:highlight w:val="none"/>
          <w:lang w:val="ru-RU"/>
        </w:rPr>
        <w:t>%</w:t>
      </w:r>
      <w:r>
        <w:rPr>
          <w:rFonts w:hint="eastAsia"/>
          <w:sz w:val="28"/>
          <w:szCs w:val="28"/>
          <w:highlight w:val="none"/>
          <w:lang w:val="ru-RU"/>
        </w:rPr>
        <w:t>）</w:t>
      </w:r>
      <w:r>
        <w:rPr>
          <w:rFonts w:hint="eastAsia"/>
          <w:sz w:val="28"/>
          <w:szCs w:val="28"/>
          <w:highlight w:val="none"/>
          <w:lang w:val="en-US" w:eastAsia="zh-CN"/>
        </w:rPr>
        <w:t>、动物医学</w:t>
      </w:r>
      <w:r>
        <w:rPr>
          <w:rFonts w:hint="eastAsia"/>
          <w:sz w:val="28"/>
          <w:szCs w:val="28"/>
          <w:highlight w:val="none"/>
          <w:lang w:val="ru-RU"/>
        </w:rPr>
        <w:t>专业（</w:t>
      </w:r>
      <w:r>
        <w:rPr>
          <w:rFonts w:hint="eastAsia"/>
          <w:sz w:val="28"/>
          <w:szCs w:val="28"/>
          <w:highlight w:val="none"/>
          <w:lang w:val="en-US" w:eastAsia="zh-CN"/>
        </w:rPr>
        <w:t>266</w:t>
      </w:r>
      <w:r>
        <w:rPr>
          <w:rFonts w:hint="eastAsia"/>
          <w:sz w:val="28"/>
          <w:szCs w:val="28"/>
          <w:highlight w:val="none"/>
          <w:lang w:val="ru-RU"/>
        </w:rPr>
        <w:t>人，</w:t>
      </w:r>
      <w:r>
        <w:rPr>
          <w:rFonts w:hint="eastAsia"/>
          <w:sz w:val="28"/>
          <w:szCs w:val="28"/>
          <w:highlight w:val="none"/>
          <w:lang w:val="en-US" w:eastAsia="zh-CN"/>
        </w:rPr>
        <w:t>6.61</w:t>
      </w:r>
      <w:r>
        <w:rPr>
          <w:sz w:val="28"/>
          <w:szCs w:val="28"/>
          <w:highlight w:val="none"/>
          <w:lang w:val="ru-RU"/>
        </w:rPr>
        <w:t>%</w:t>
      </w:r>
      <w:r>
        <w:rPr>
          <w:rFonts w:hint="eastAsia"/>
          <w:sz w:val="28"/>
          <w:szCs w:val="28"/>
          <w:highlight w:val="none"/>
          <w:lang w:val="ru-RU"/>
        </w:rPr>
        <w:t>）</w:t>
      </w:r>
      <w:r>
        <w:rPr>
          <w:rFonts w:hint="eastAsia"/>
          <w:sz w:val="28"/>
          <w:szCs w:val="28"/>
          <w:highlight w:val="none"/>
          <w:lang w:val="ru-RU" w:eastAsia="zh-CN"/>
        </w:rPr>
        <w:t>、</w:t>
      </w:r>
      <w:r>
        <w:rPr>
          <w:rFonts w:hint="eastAsia"/>
          <w:sz w:val="28"/>
          <w:szCs w:val="28"/>
          <w:highlight w:val="none"/>
          <w:lang w:val="en-US" w:eastAsia="zh-CN"/>
        </w:rPr>
        <w:t>电梯工程技术</w:t>
      </w:r>
      <w:r>
        <w:rPr>
          <w:rFonts w:hint="eastAsia"/>
          <w:sz w:val="28"/>
          <w:szCs w:val="28"/>
          <w:highlight w:val="none"/>
          <w:lang w:val="ru-RU"/>
        </w:rPr>
        <w:t>专业（</w:t>
      </w:r>
      <w:r>
        <w:rPr>
          <w:rFonts w:hint="eastAsia"/>
          <w:sz w:val="28"/>
          <w:szCs w:val="28"/>
          <w:highlight w:val="none"/>
          <w:lang w:val="en-US" w:eastAsia="zh-CN"/>
        </w:rPr>
        <w:t>252</w:t>
      </w:r>
      <w:r>
        <w:rPr>
          <w:rFonts w:hint="eastAsia"/>
          <w:sz w:val="28"/>
          <w:szCs w:val="28"/>
          <w:highlight w:val="none"/>
          <w:lang w:val="ru-RU"/>
        </w:rPr>
        <w:t>人，</w:t>
      </w:r>
      <w:r>
        <w:rPr>
          <w:rFonts w:hint="eastAsia"/>
          <w:sz w:val="28"/>
          <w:szCs w:val="28"/>
          <w:highlight w:val="none"/>
          <w:lang w:val="en-US" w:eastAsia="zh-CN"/>
        </w:rPr>
        <w:t>6.27</w:t>
      </w:r>
      <w:r>
        <w:rPr>
          <w:sz w:val="28"/>
          <w:szCs w:val="28"/>
          <w:highlight w:val="none"/>
          <w:lang w:val="ru-RU"/>
        </w:rPr>
        <w:t>%</w:t>
      </w:r>
      <w:r>
        <w:rPr>
          <w:rFonts w:hint="eastAsia"/>
          <w:sz w:val="28"/>
          <w:szCs w:val="28"/>
          <w:highlight w:val="none"/>
          <w:lang w:val="ru-RU"/>
        </w:rPr>
        <w:t>）。</w:t>
      </w:r>
    </w:p>
    <w:p>
      <w:pPr>
        <w:jc w:val="center"/>
        <w:rPr>
          <w:rFonts w:asciiTheme="minorEastAsia" w:hAnsiTheme="minorEastAsia" w:eastAsiaTheme="minorEastAsia"/>
          <w:sz w:val="20"/>
          <w:szCs w:val="20"/>
          <w:lang w:val="ru-RU"/>
        </w:rPr>
      </w:pPr>
      <w:r>
        <w:rPr>
          <w:rFonts w:hint="eastAsia" w:asciiTheme="minorEastAsia" w:hAnsiTheme="minorEastAsia" w:eastAsiaTheme="minorEastAsia"/>
          <w:sz w:val="20"/>
          <w:szCs w:val="20"/>
          <w:lang w:val="ru-RU"/>
        </w:rPr>
        <w:t>表</w:t>
      </w:r>
      <w:r>
        <w:rPr>
          <w:rFonts w:asciiTheme="minorEastAsia" w:hAnsiTheme="minorEastAsia" w:eastAsiaTheme="minorEastAsia"/>
          <w:sz w:val="20"/>
          <w:szCs w:val="20"/>
          <w:lang w:val="ru-RU"/>
        </w:rPr>
        <w:t xml:space="preserve"> 1-1 20</w:t>
      </w:r>
      <w:r>
        <w:rPr>
          <w:rFonts w:hint="eastAsia" w:asciiTheme="minorEastAsia" w:hAnsiTheme="minorEastAsia" w:eastAsiaTheme="minorEastAsia"/>
          <w:sz w:val="20"/>
          <w:szCs w:val="20"/>
          <w:lang w:val="en-US" w:eastAsia="zh-CN"/>
        </w:rPr>
        <w:t>23</w:t>
      </w:r>
      <w:r>
        <w:rPr>
          <w:rFonts w:hint="eastAsia" w:asciiTheme="minorEastAsia" w:hAnsiTheme="minorEastAsia" w:eastAsiaTheme="minorEastAsia"/>
          <w:sz w:val="20"/>
          <w:szCs w:val="20"/>
          <w:lang w:val="ru-RU"/>
        </w:rPr>
        <w:t>届毕业生</w:t>
      </w:r>
      <w:r>
        <w:rPr>
          <w:rFonts w:hint="eastAsia" w:asciiTheme="minorEastAsia" w:hAnsiTheme="minorEastAsia" w:eastAsiaTheme="minorEastAsia"/>
          <w:sz w:val="20"/>
          <w:szCs w:val="20"/>
          <w:lang w:val="en-US" w:eastAsia="zh-CN"/>
        </w:rPr>
        <w:t>二级学院</w:t>
      </w:r>
      <w:r>
        <w:rPr>
          <w:rFonts w:hint="eastAsia" w:asciiTheme="minorEastAsia" w:hAnsiTheme="minorEastAsia" w:eastAsiaTheme="minorEastAsia"/>
          <w:sz w:val="20"/>
          <w:szCs w:val="20"/>
          <w:lang w:val="ru-RU"/>
        </w:rPr>
        <w:t>专业结构</w:t>
      </w:r>
    </w:p>
    <w:p>
      <w:pPr>
        <w:jc w:val="right"/>
        <w:rPr>
          <w:sz w:val="28"/>
          <w:szCs w:val="28"/>
          <w:lang w:val="ru-RU"/>
        </w:rPr>
      </w:pPr>
      <w:r>
        <w:rPr>
          <w:rFonts w:hint="eastAsia" w:asciiTheme="minorEastAsia" w:hAnsiTheme="minorEastAsia" w:eastAsiaTheme="minorEastAsia"/>
          <w:sz w:val="20"/>
          <w:szCs w:val="20"/>
          <w:lang w:val="ru-RU"/>
        </w:rPr>
        <w:t>单位：人数（人）、比例（%）</w:t>
      </w:r>
    </w:p>
    <w:tbl>
      <w:tblPr>
        <w:tblStyle w:val="19"/>
        <w:tblW w:w="0" w:type="auto"/>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autofit"/>
        <w:tblCellMar>
          <w:top w:w="0" w:type="dxa"/>
          <w:left w:w="108" w:type="dxa"/>
          <w:bottom w:w="0" w:type="dxa"/>
          <w:right w:w="108" w:type="dxa"/>
        </w:tblCellMar>
      </w:tblPr>
      <w:tblGrid>
        <w:gridCol w:w="2390"/>
        <w:gridCol w:w="2803"/>
        <w:gridCol w:w="1600"/>
        <w:gridCol w:w="1525"/>
      </w:tblGrid>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Ex>
        <w:tc>
          <w:tcPr>
            <w:tcW w:w="2390" w:type="dxa"/>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single" w:sz="24" w:space="0"/>
              <w:insideV w:val="single" w:sz="8" w:space="0"/>
            </w:tcBorders>
            <w:shd w:val="clear" w:color="auto" w:fill="4BACC6" w:themeFill="accent5"/>
          </w:tcPr>
          <w:p>
            <w:pPr>
              <w:jc w:val="center"/>
              <w:rPr>
                <w:rFonts w:hint="eastAsia" w:asciiTheme="minorEastAsia" w:hAnsiTheme="minorEastAsia" w:eastAsiaTheme="minorEastAsia"/>
                <w:b/>
                <w:bCs/>
                <w:i w:val="0"/>
                <w:iCs w:val="0"/>
                <w:color w:val="FFFFFF" w:themeColor="background1"/>
                <w:sz w:val="20"/>
                <w:szCs w:val="20"/>
                <w:lang w:val="ru-RU" w:eastAsia="zh-CN"/>
                <w14:textFill>
                  <w14:solidFill>
                    <w14:schemeClr w14:val="bg1"/>
                  </w14:solidFill>
                </w14:textFill>
              </w:rPr>
            </w:pPr>
            <w:r>
              <w:rPr>
                <w:rFonts w:hint="eastAsia" w:asciiTheme="minorEastAsia" w:hAnsiTheme="minorEastAsia" w:eastAsiaTheme="minorEastAsia"/>
                <w:b/>
                <w:bCs/>
                <w:i w:val="0"/>
                <w:iCs w:val="0"/>
                <w:color w:val="FFFFFF" w:themeColor="background1"/>
                <w:sz w:val="20"/>
                <w:szCs w:val="20"/>
                <w:lang w:val="en-US" w:eastAsia="zh-CN"/>
                <w14:textFill>
                  <w14:solidFill>
                    <w14:schemeClr w14:val="bg1"/>
                  </w14:solidFill>
                </w14:textFill>
              </w:rPr>
              <w:t>二级学院</w:t>
            </w:r>
          </w:p>
        </w:tc>
        <w:tc>
          <w:tcPr>
            <w:tcW w:w="2803" w:type="dxa"/>
            <w:tcBorders>
              <w:top w:val="single" w:color="FFFFFF" w:themeColor="background1" w:sz="8" w:space="0"/>
              <w:bottom w:val="single" w:color="FFFFFF" w:themeColor="background1" w:sz="24" w:space="0"/>
              <w:right w:val="single" w:color="FFFFFF" w:themeColor="background1" w:sz="8" w:space="0"/>
              <w:insideH w:val="single" w:sz="24" w:space="0"/>
              <w:insideV w:val="single" w:sz="8" w:space="0"/>
            </w:tcBorders>
            <w:shd w:val="clear" w:color="auto" w:fill="4BACC6" w:themeFill="accent5"/>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t>专业</w:t>
            </w:r>
          </w:p>
        </w:tc>
        <w:tc>
          <w:tcPr>
            <w:tcW w:w="1600" w:type="dxa"/>
            <w:tcBorders>
              <w:top w:val="single" w:color="FFFFFF" w:themeColor="background1" w:sz="8" w:space="0"/>
              <w:bottom w:val="single" w:color="FFFFFF" w:themeColor="background1" w:sz="24" w:space="0"/>
              <w:right w:val="single" w:color="FFFFFF" w:themeColor="background1" w:sz="8" w:space="0"/>
              <w:insideH w:val="single" w:sz="24" w:space="0"/>
              <w:insideV w:val="single" w:sz="8" w:space="0"/>
            </w:tcBorders>
            <w:shd w:val="clear" w:color="auto" w:fill="4BACC6" w:themeFill="accent5"/>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t>总人数</w:t>
            </w:r>
          </w:p>
        </w:tc>
        <w:tc>
          <w:tcPr>
            <w:tcW w:w="1525" w:type="dxa"/>
            <w:tcBorders>
              <w:top w:val="single" w:color="FFFFFF" w:themeColor="background1" w:sz="8" w:space="0"/>
              <w:bottom w:val="single" w:color="FFFFFF" w:themeColor="background1" w:sz="24" w:space="0"/>
              <w:right w:val="single" w:color="FFFFFF" w:themeColor="background1" w:sz="8" w:space="0"/>
              <w:insideH w:val="single" w:sz="24" w:space="0"/>
              <w:insideV w:val="single" w:sz="8" w:space="0"/>
            </w:tcBorders>
            <w:shd w:val="clear" w:color="auto" w:fill="4BACC6" w:themeFill="accent5"/>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t>比例</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90" w:type="dxa"/>
            <w:vMerge w:val="restart"/>
            <w:tcBorders>
              <w:left w:val="single" w:color="FFFFFF" w:themeColor="background1" w:sz="8" w:space="0"/>
              <w:right w:val="single" w:color="FFFFFF" w:themeColor="background1" w:sz="24" w:space="0"/>
              <w:insideH w:val="nil"/>
              <w:insideV w:val="single" w:sz="24" w:space="0"/>
            </w:tcBorders>
            <w:shd w:val="clear" w:color="auto" w:fill="4BACC6" w:themeFill="accent5"/>
            <w:vAlign w:val="center"/>
          </w:tcPr>
          <w:p>
            <w:pPr>
              <w:jc w:val="center"/>
              <w:rPr>
                <w:rFonts w:hint="eastAsia" w:cs="Times New Roman" w:asciiTheme="minorEastAsia" w:hAnsiTheme="minorEastAsia" w:eastAsiaTheme="minorEastAsia"/>
                <w:b/>
                <w:bCs/>
                <w:i w:val="0"/>
                <w:iCs w:val="0"/>
                <w:color w:val="FFFFFF" w:themeColor="background1"/>
                <w:kern w:val="2"/>
                <w:sz w:val="20"/>
                <w:szCs w:val="20"/>
                <w:lang w:val="ru-RU" w:eastAsia="zh-CN" w:bidi="ar-SA"/>
                <w14:textFill>
                  <w14:solidFill>
                    <w14:schemeClr w14:val="bg1"/>
                  </w14:solidFill>
                </w14:textFill>
              </w:rPr>
            </w:pPr>
            <w: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t>财会工商</w:t>
            </w:r>
            <w:r>
              <w:rPr>
                <w:rFonts w:hint="eastAsia" w:asciiTheme="minorEastAsia" w:hAnsiTheme="minorEastAsia" w:eastAsiaTheme="minorEastAsia"/>
                <w:b/>
                <w:bCs/>
                <w:i w:val="0"/>
                <w:iCs w:val="0"/>
                <w:color w:val="FFFFFF" w:themeColor="background1"/>
                <w:sz w:val="20"/>
                <w:szCs w:val="20"/>
                <w:lang w:val="en-US" w:eastAsia="zh-CN"/>
                <w14:textFill>
                  <w14:solidFill>
                    <w14:schemeClr w14:val="bg1"/>
                  </w14:solidFill>
                </w14:textFill>
              </w:rPr>
              <w:t>学院</w:t>
            </w:r>
          </w:p>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803" w:type="dxa"/>
            <w:shd w:val="clear" w:color="auto" w:fill="D2EAF0" w:themeFill="accent5" w:themeFillTint="3F"/>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ru-RU"/>
              </w:rPr>
              <w:t>会计</w:t>
            </w:r>
          </w:p>
        </w:tc>
        <w:tc>
          <w:tcPr>
            <w:tcW w:w="1600" w:type="dxa"/>
            <w:shd w:val="clear" w:color="auto" w:fill="D2EAF0" w:themeFill="accent5" w:themeFillTint="3F"/>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403</w:t>
            </w:r>
          </w:p>
        </w:tc>
        <w:tc>
          <w:tcPr>
            <w:tcW w:w="1525" w:type="dxa"/>
            <w:shd w:val="clear" w:color="auto" w:fill="D2EAF0" w:themeFill="accent5" w:themeFillTint="3F"/>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10.02</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90"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center"/>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803" w:type="dxa"/>
            <w:shd w:val="clear" w:color="auto" w:fill="92CDDC" w:themeFill="accent5" w:themeFillTint="99"/>
            <w:vAlign w:val="top"/>
          </w:tcPr>
          <w:p>
            <w:pPr>
              <w:jc w:val="center"/>
              <w:rPr>
                <w:rFonts w:hint="eastAsia" w:cs="Times New Roman" w:asciiTheme="minorEastAsia" w:hAnsiTheme="minorEastAsia" w:eastAsiaTheme="minorEastAsia"/>
                <w:kern w:val="2"/>
                <w:sz w:val="20"/>
                <w:szCs w:val="20"/>
                <w:lang w:val="ru-RU" w:eastAsia="zh-CN" w:bidi="ar-SA"/>
              </w:rPr>
            </w:pPr>
            <w:r>
              <w:rPr>
                <w:rFonts w:hint="eastAsia" w:asciiTheme="minorEastAsia" w:hAnsiTheme="minorEastAsia" w:eastAsiaTheme="minorEastAsia"/>
                <w:sz w:val="20"/>
                <w:szCs w:val="20"/>
                <w:lang w:val="ru-RU"/>
              </w:rPr>
              <w:t>文秘</w:t>
            </w:r>
          </w:p>
        </w:tc>
        <w:tc>
          <w:tcPr>
            <w:tcW w:w="1600" w:type="dxa"/>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166</w:t>
            </w:r>
          </w:p>
        </w:tc>
        <w:tc>
          <w:tcPr>
            <w:tcW w:w="1525" w:type="dxa"/>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4.13</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90"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top"/>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803"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ru-RU"/>
              </w:rPr>
              <w:t>旅游管理</w:t>
            </w:r>
          </w:p>
        </w:tc>
        <w:tc>
          <w:tcPr>
            <w:tcW w:w="160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118</w:t>
            </w:r>
          </w:p>
        </w:tc>
        <w:tc>
          <w:tcPr>
            <w:tcW w:w="1525"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2.93</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90"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top"/>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803" w:type="dxa"/>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ru-RU"/>
              </w:rPr>
              <w:t>金融管理</w:t>
            </w:r>
          </w:p>
        </w:tc>
        <w:tc>
          <w:tcPr>
            <w:tcW w:w="1600" w:type="dxa"/>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58</w:t>
            </w:r>
          </w:p>
        </w:tc>
        <w:tc>
          <w:tcPr>
            <w:tcW w:w="1525" w:type="dxa"/>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1.44</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90" w:type="dxa"/>
            <w:vMerge w:val="continue"/>
            <w:tcBorders>
              <w:left w:val="single" w:color="FFFFFF" w:themeColor="background1" w:sz="8" w:space="0"/>
              <w:bottom w:val="nil"/>
              <w:right w:val="single" w:color="FFFFFF" w:themeColor="background1" w:sz="24" w:space="0"/>
              <w:insideH w:val="nil"/>
              <w:insideV w:val="single" w:sz="24" w:space="0"/>
            </w:tcBorders>
            <w:shd w:val="clear" w:color="auto" w:fill="4BACC6" w:themeFill="accent5"/>
            <w:vAlign w:val="top"/>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803" w:type="dxa"/>
            <w:shd w:val="clear" w:color="auto" w:fill="D2EAF0" w:themeFill="accent5" w:themeFillTint="3F"/>
            <w:vAlign w:val="top"/>
          </w:tcPr>
          <w:p>
            <w:pPr>
              <w:jc w:val="right"/>
              <w:rPr>
                <w:rFonts w:hint="default" w:cs="Times New Roman" w:asciiTheme="minorEastAsia" w:hAnsiTheme="minorEastAsia" w:eastAsiaTheme="minorEastAsia"/>
                <w:b/>
                <w:bCs/>
                <w:color w:val="1F497D" w:themeColor="text2"/>
                <w:kern w:val="2"/>
                <w:sz w:val="20"/>
                <w:szCs w:val="20"/>
                <w:highlight w:val="none"/>
                <w:lang w:val="en-US" w:eastAsia="zh-CN" w:bidi="ar-SA"/>
                <w14:textFill>
                  <w14:solidFill>
                    <w14:schemeClr w14:val="tx2"/>
                  </w14:solidFill>
                </w14:textFill>
              </w:rPr>
            </w:pPr>
            <w:r>
              <w:rPr>
                <w:rFonts w:hint="eastAsia" w:asciiTheme="minorEastAsia" w:hAnsiTheme="minorEastAsia" w:eastAsiaTheme="minorEastAsia"/>
                <w:b/>
                <w:bCs/>
                <w:color w:val="1F497D" w:themeColor="text2"/>
                <w:sz w:val="20"/>
                <w:szCs w:val="20"/>
                <w:highlight w:val="none"/>
                <w:lang w:val="en-US" w:eastAsia="zh-CN"/>
                <w14:textFill>
                  <w14:solidFill>
                    <w14:schemeClr w14:val="tx2"/>
                  </w14:solidFill>
                </w14:textFill>
              </w:rPr>
              <w:t>财会工商学院 汇总</w:t>
            </w:r>
          </w:p>
        </w:tc>
        <w:tc>
          <w:tcPr>
            <w:tcW w:w="1600" w:type="dxa"/>
            <w:shd w:val="clear" w:color="auto" w:fill="D2EAF0" w:themeFill="accent5" w:themeFillTint="3F"/>
            <w:vAlign w:val="top"/>
          </w:tcPr>
          <w:p>
            <w:pPr>
              <w:jc w:val="right"/>
              <w:rPr>
                <w:rFonts w:hint="default" w:cs="Times New Roman" w:asciiTheme="minorEastAsia" w:hAnsiTheme="minorEastAsia" w:eastAsiaTheme="minorEastAsia"/>
                <w:b/>
                <w:bCs/>
                <w:color w:val="1F497D" w:themeColor="text2"/>
                <w:kern w:val="2"/>
                <w:sz w:val="20"/>
                <w:szCs w:val="20"/>
                <w:highlight w:val="none"/>
                <w:lang w:val="en-US" w:eastAsia="zh-CN" w:bidi="ar-SA"/>
                <w14:textFill>
                  <w14:solidFill>
                    <w14:schemeClr w14:val="tx2"/>
                  </w14:solidFill>
                </w14:textFill>
              </w:rPr>
            </w:pPr>
            <w:r>
              <w:rPr>
                <w:rFonts w:hint="eastAsia" w:asciiTheme="minorEastAsia" w:hAnsiTheme="minorEastAsia" w:eastAsiaTheme="minorEastAsia"/>
                <w:b/>
                <w:bCs/>
                <w:color w:val="1F497D" w:themeColor="text2"/>
                <w:sz w:val="20"/>
                <w:szCs w:val="20"/>
                <w:highlight w:val="none"/>
                <w:lang w:val="en-US" w:eastAsia="zh-CN"/>
                <w14:textFill>
                  <w14:solidFill>
                    <w14:schemeClr w14:val="tx2"/>
                  </w14:solidFill>
                </w14:textFill>
              </w:rPr>
              <w:t>745</w:t>
            </w:r>
          </w:p>
        </w:tc>
        <w:tc>
          <w:tcPr>
            <w:tcW w:w="1525" w:type="dxa"/>
            <w:shd w:val="clear" w:color="auto" w:fill="D2EAF0" w:themeFill="accent5" w:themeFillTint="3F"/>
            <w:vAlign w:val="top"/>
          </w:tcPr>
          <w:p>
            <w:pPr>
              <w:jc w:val="right"/>
              <w:rPr>
                <w:rFonts w:hint="default" w:cs="Times New Roman" w:asciiTheme="minorEastAsia" w:hAnsiTheme="minorEastAsia" w:eastAsiaTheme="minorEastAsia"/>
                <w:kern w:val="2"/>
                <w:sz w:val="20"/>
                <w:szCs w:val="20"/>
                <w:highlight w:val="none"/>
                <w:lang w:val="en-US" w:eastAsia="zh-CN" w:bidi="ar-SA"/>
              </w:rPr>
            </w:pPr>
            <w:r>
              <w:rPr>
                <w:rFonts w:hint="eastAsia" w:asciiTheme="minorEastAsia" w:hAnsiTheme="minorEastAsia" w:eastAsiaTheme="minorEastAsia"/>
                <w:b/>
                <w:bCs/>
                <w:color w:val="1F497D" w:themeColor="text2"/>
                <w:sz w:val="20"/>
                <w:szCs w:val="20"/>
                <w:highlight w:val="none"/>
                <w:lang w:val="en-US" w:eastAsia="zh-CN"/>
                <w14:textFill>
                  <w14:solidFill>
                    <w14:schemeClr w14:val="tx2"/>
                  </w14:solidFill>
                </w14:textFill>
              </w:rPr>
              <w:t>18.52</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90" w:type="dxa"/>
            <w:vMerge w:val="restart"/>
            <w:tcBorders>
              <w:top w:val="single" w:color="FFFFFF" w:themeColor="background1" w:sz="8" w:space="0"/>
              <w:left w:val="single" w:color="FFFFFF" w:themeColor="background1" w:sz="8" w:space="0"/>
              <w:right w:val="single" w:color="FFFFFF" w:themeColor="background1" w:sz="24" w:space="0"/>
              <w:insideH w:val="single" w:sz="8" w:space="0"/>
              <w:insideV w:val="single" w:sz="24" w:space="0"/>
            </w:tcBorders>
            <w:shd w:val="clear" w:color="auto" w:fill="4BACC6" w:themeFill="accent5"/>
            <w:vAlign w:val="center"/>
          </w:tcPr>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p>
            <w:pPr>
              <w:jc w:val="center"/>
              <w:rPr>
                <w:rFonts w:cs="Times New Roman" w:asciiTheme="minorEastAsia" w:hAnsiTheme="minorEastAsia" w:eastAsiaTheme="minorEastAsia"/>
                <w:b/>
                <w:bCs/>
                <w:i w:val="0"/>
                <w:iCs w:val="0"/>
                <w:color w:val="FFFFFF" w:themeColor="background1"/>
                <w:kern w:val="2"/>
                <w:sz w:val="20"/>
                <w:szCs w:val="20"/>
                <w:lang w:val="ru-RU" w:eastAsia="zh-CN" w:bidi="ar-SA"/>
                <w14:textFill>
                  <w14:solidFill>
                    <w14:schemeClr w14:val="bg1"/>
                  </w14:solidFill>
                </w14:textFill>
              </w:rPr>
            </w:pPr>
            <w: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t>电梯工程学院</w:t>
            </w:r>
          </w:p>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803"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eastAsia" w:cs="Times New Roman" w:asciiTheme="minorEastAsia" w:hAnsiTheme="minorEastAsia" w:eastAsiaTheme="minorEastAsia"/>
                <w:kern w:val="2"/>
                <w:sz w:val="20"/>
                <w:szCs w:val="20"/>
                <w:lang w:val="ru-RU" w:eastAsia="zh-CN" w:bidi="ar-SA"/>
              </w:rPr>
            </w:pPr>
            <w:r>
              <w:rPr>
                <w:rFonts w:hint="eastAsia" w:asciiTheme="minorEastAsia" w:hAnsiTheme="minorEastAsia" w:eastAsiaTheme="minorEastAsia"/>
                <w:sz w:val="20"/>
                <w:szCs w:val="20"/>
                <w:lang w:val="ru-RU"/>
              </w:rPr>
              <w:t>电梯工程技术</w:t>
            </w:r>
          </w:p>
        </w:tc>
        <w:tc>
          <w:tcPr>
            <w:tcW w:w="160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cs="Times New Roman" w:asciiTheme="minorEastAsia" w:hAnsiTheme="minorEastAsia" w:eastAsiaTheme="minorEastAsia"/>
                <w:kern w:val="2"/>
                <w:sz w:val="20"/>
                <w:szCs w:val="20"/>
                <w:lang w:val="en-US" w:eastAsia="zh-CN" w:bidi="ar-SA"/>
              </w:rPr>
              <w:t>252</w:t>
            </w:r>
          </w:p>
        </w:tc>
        <w:tc>
          <w:tcPr>
            <w:tcW w:w="1525"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6.27</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rPr>
          <w:trHeight w:val="252" w:hRule="atLeast"/>
        </w:trPr>
        <w:tc>
          <w:tcPr>
            <w:tcW w:w="2390" w:type="dxa"/>
            <w:vMerge w:val="continue"/>
            <w:tcBorders>
              <w:left w:val="single" w:color="FFFFFF" w:themeColor="background1" w:sz="8" w:space="0"/>
              <w:right w:val="single" w:color="FFFFFF" w:themeColor="background1" w:sz="24" w:space="0"/>
              <w:insideH w:val="single" w:sz="8" w:space="0"/>
              <w:insideV w:val="single" w:sz="24" w:space="0"/>
            </w:tcBorders>
            <w:shd w:val="clear" w:color="auto" w:fill="4BACC6" w:themeFill="accent5"/>
            <w:vAlign w:val="center"/>
          </w:tcPr>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803"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eastAsia" w:cs="Times New Roman" w:asciiTheme="minorEastAsia" w:hAnsiTheme="minorEastAsia" w:eastAsiaTheme="minorEastAsia"/>
                <w:kern w:val="2"/>
                <w:sz w:val="20"/>
                <w:szCs w:val="20"/>
                <w:lang w:val="ru-RU" w:eastAsia="zh-CN" w:bidi="ar-SA"/>
              </w:rPr>
            </w:pPr>
            <w:r>
              <w:rPr>
                <w:rFonts w:hint="eastAsia" w:asciiTheme="minorEastAsia" w:hAnsiTheme="minorEastAsia" w:eastAsiaTheme="minorEastAsia"/>
                <w:sz w:val="20"/>
                <w:szCs w:val="20"/>
                <w:lang w:val="ru-RU"/>
              </w:rPr>
              <w:t>机电一体化技术</w:t>
            </w:r>
          </w:p>
        </w:tc>
        <w:tc>
          <w:tcPr>
            <w:tcW w:w="160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221</w:t>
            </w:r>
          </w:p>
        </w:tc>
        <w:tc>
          <w:tcPr>
            <w:tcW w:w="1525"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5.50</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90" w:type="dxa"/>
            <w:vMerge w:val="continue"/>
            <w:tcBorders>
              <w:left w:val="single" w:color="FFFFFF" w:themeColor="background1" w:sz="8" w:space="0"/>
              <w:right w:val="single" w:color="FFFFFF" w:themeColor="background1" w:sz="24" w:space="0"/>
              <w:insideH w:val="single" w:sz="8" w:space="0"/>
              <w:insideV w:val="single" w:sz="24" w:space="0"/>
            </w:tcBorders>
            <w:shd w:val="clear" w:color="auto" w:fill="4BACC6" w:themeFill="accent5"/>
            <w:vAlign w:val="center"/>
          </w:tcPr>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803"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ru-RU" w:eastAsia="zh-CN" w:bidi="ar-SA"/>
              </w:rPr>
            </w:pPr>
            <w:r>
              <w:rPr>
                <w:rFonts w:hint="eastAsia" w:asciiTheme="minorEastAsia" w:hAnsiTheme="minorEastAsia" w:eastAsiaTheme="minorEastAsia"/>
                <w:sz w:val="20"/>
                <w:szCs w:val="20"/>
                <w:lang w:val="en-US" w:eastAsia="zh-CN"/>
              </w:rPr>
              <w:t>物联网应用技术</w:t>
            </w:r>
          </w:p>
        </w:tc>
        <w:tc>
          <w:tcPr>
            <w:tcW w:w="160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36</w:t>
            </w:r>
          </w:p>
        </w:tc>
        <w:tc>
          <w:tcPr>
            <w:tcW w:w="1525"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cs="Times New Roman" w:asciiTheme="minorEastAsia" w:hAnsiTheme="minorEastAsia" w:eastAsiaTheme="minorEastAsia"/>
                <w:kern w:val="2"/>
                <w:sz w:val="20"/>
                <w:szCs w:val="20"/>
                <w:lang w:val="en-US" w:eastAsia="zh-CN" w:bidi="ar-SA"/>
              </w:rPr>
              <w:t>0.90</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90" w:type="dxa"/>
            <w:vMerge w:val="continue"/>
            <w:tcBorders>
              <w:left w:val="single" w:color="FFFFFF" w:themeColor="background1" w:sz="8" w:space="0"/>
              <w:right w:val="single" w:color="FFFFFF" w:themeColor="background1" w:sz="24" w:space="0"/>
              <w:insideH w:val="single" w:sz="8" w:space="0"/>
              <w:insideV w:val="single" w:sz="24" w:space="0"/>
            </w:tcBorders>
            <w:shd w:val="clear" w:color="auto" w:fill="4BACC6" w:themeFill="accent5"/>
            <w:vAlign w:val="center"/>
          </w:tcPr>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803"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right"/>
              <w:rPr>
                <w:rFonts w:hint="default" w:cs="Times New Roman" w:asciiTheme="minorEastAsia" w:hAnsiTheme="minorEastAsia" w:eastAsiaTheme="minorEastAsia"/>
                <w:b/>
                <w:bCs/>
                <w:color w:val="1F497D" w:themeColor="text2"/>
                <w:kern w:val="2"/>
                <w:sz w:val="20"/>
                <w:szCs w:val="20"/>
                <w:highlight w:val="none"/>
                <w:lang w:val="ru-RU" w:eastAsia="zh-CN" w:bidi="ar-SA"/>
                <w14:textFill>
                  <w14:solidFill>
                    <w14:schemeClr w14:val="tx2"/>
                  </w14:solidFill>
                </w14:textFill>
              </w:rPr>
            </w:pPr>
            <w:r>
              <w:rPr>
                <w:rFonts w:hint="eastAsia" w:asciiTheme="minorEastAsia" w:hAnsiTheme="minorEastAsia" w:eastAsiaTheme="minorEastAsia"/>
                <w:b/>
                <w:bCs/>
                <w:color w:val="1F497D" w:themeColor="text2"/>
                <w:sz w:val="20"/>
                <w:szCs w:val="20"/>
                <w:highlight w:val="none"/>
                <w:lang w:val="en-US" w:eastAsia="zh-CN"/>
                <w14:textFill>
                  <w14:solidFill>
                    <w14:schemeClr w14:val="tx2"/>
                  </w14:solidFill>
                </w14:textFill>
              </w:rPr>
              <w:t>电梯工程学院 汇总</w:t>
            </w:r>
          </w:p>
        </w:tc>
        <w:tc>
          <w:tcPr>
            <w:tcW w:w="160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right"/>
              <w:rPr>
                <w:rFonts w:hint="default" w:cs="Times New Roman" w:asciiTheme="minorEastAsia" w:hAnsiTheme="minorEastAsia" w:eastAsiaTheme="minorEastAsia"/>
                <w:b/>
                <w:bCs/>
                <w:color w:val="1F497D" w:themeColor="text2"/>
                <w:kern w:val="2"/>
                <w:sz w:val="20"/>
                <w:szCs w:val="20"/>
                <w:highlight w:val="none"/>
                <w:lang w:val="en-US" w:eastAsia="zh-CN" w:bidi="ar-SA"/>
                <w14:textFill>
                  <w14:solidFill>
                    <w14:schemeClr w14:val="tx2"/>
                  </w14:solidFill>
                </w14:textFill>
              </w:rPr>
            </w:pPr>
            <w:r>
              <w:rPr>
                <w:rFonts w:hint="eastAsia" w:asciiTheme="minorEastAsia" w:hAnsiTheme="minorEastAsia" w:eastAsiaTheme="minorEastAsia"/>
                <w:b/>
                <w:bCs/>
                <w:color w:val="1F497D" w:themeColor="text2"/>
                <w:sz w:val="20"/>
                <w:szCs w:val="20"/>
                <w:highlight w:val="none"/>
                <w:lang w:val="en-US" w:eastAsia="zh-CN"/>
                <w14:textFill>
                  <w14:solidFill>
                    <w14:schemeClr w14:val="tx2"/>
                  </w14:solidFill>
                </w14:textFill>
              </w:rPr>
              <w:t>509</w:t>
            </w:r>
          </w:p>
        </w:tc>
        <w:tc>
          <w:tcPr>
            <w:tcW w:w="1525"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right"/>
              <w:rPr>
                <w:rFonts w:hint="default" w:cs="Times New Roman" w:asciiTheme="minorEastAsia" w:hAnsiTheme="minorEastAsia" w:eastAsiaTheme="minorEastAsia"/>
                <w:kern w:val="2"/>
                <w:sz w:val="20"/>
                <w:szCs w:val="20"/>
                <w:highlight w:val="none"/>
                <w:lang w:val="en-US" w:eastAsia="zh-CN" w:bidi="ar-SA"/>
              </w:rPr>
            </w:pPr>
            <w:r>
              <w:rPr>
                <w:rFonts w:hint="eastAsia" w:asciiTheme="minorEastAsia" w:hAnsiTheme="minorEastAsia" w:eastAsiaTheme="minorEastAsia"/>
                <w:b/>
                <w:bCs/>
                <w:color w:val="1F497D" w:themeColor="text2"/>
                <w:sz w:val="20"/>
                <w:szCs w:val="20"/>
                <w:highlight w:val="none"/>
                <w:lang w:val="en-US" w:eastAsia="zh-CN"/>
                <w14:textFill>
                  <w14:solidFill>
                    <w14:schemeClr w14:val="tx2"/>
                  </w14:solidFill>
                </w14:textFill>
              </w:rPr>
              <w:t>12.66</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90" w:type="dxa"/>
            <w:vMerge w:val="restart"/>
            <w:tcBorders>
              <w:left w:val="single" w:color="FFFFFF" w:themeColor="background1" w:sz="8" w:space="0"/>
              <w:right w:val="single" w:color="FFFFFF" w:themeColor="background1" w:sz="24" w:space="0"/>
              <w:insideH w:val="single" w:sz="8" w:space="0"/>
              <w:insideV w:val="single" w:sz="24" w:space="0"/>
            </w:tcBorders>
            <w:shd w:val="clear" w:color="auto" w:fill="4BACC6" w:themeFill="accent5"/>
            <w:vAlign w:val="center"/>
          </w:tcPr>
          <w:p>
            <w:pPr>
              <w:jc w:val="center"/>
              <w:rPr>
                <w:rFonts w:hint="eastAsia" w:cs="Times New Roman" w:asciiTheme="minorEastAsia" w:hAnsiTheme="minorEastAsia" w:eastAsiaTheme="minorEastAsia"/>
                <w:b/>
                <w:bCs/>
                <w:i w:val="0"/>
                <w:iCs w:val="0"/>
                <w:color w:val="FFFFFF" w:themeColor="background1"/>
                <w:kern w:val="2"/>
                <w:sz w:val="20"/>
                <w:szCs w:val="20"/>
                <w:lang w:val="en-US" w:eastAsia="zh-CN" w:bidi="ar-SA"/>
                <w14:textFill>
                  <w14:solidFill>
                    <w14:schemeClr w14:val="bg1"/>
                  </w14:solidFill>
                </w14:textFill>
              </w:rPr>
            </w:pPr>
          </w:p>
          <w:p>
            <w:pPr>
              <w:jc w:val="center"/>
              <w:rPr>
                <w:rFonts w:hint="default" w:cs="Times New Roman" w:asciiTheme="minorEastAsia" w:hAnsiTheme="minorEastAsia" w:eastAsiaTheme="minorEastAsia"/>
                <w:b/>
                <w:bCs/>
                <w:i w:val="0"/>
                <w:iCs w:val="0"/>
                <w:color w:val="FFFFFF" w:themeColor="background1"/>
                <w:kern w:val="2"/>
                <w:sz w:val="20"/>
                <w:szCs w:val="20"/>
                <w:lang w:val="en-US" w:eastAsia="zh-CN" w:bidi="ar-SA"/>
                <w14:textFill>
                  <w14:solidFill>
                    <w14:schemeClr w14:val="bg1"/>
                  </w14:solidFill>
                </w14:textFill>
              </w:rPr>
            </w:pPr>
            <w:r>
              <w:rPr>
                <w:rFonts w:hint="eastAsia" w:cs="Times New Roman" w:asciiTheme="minorEastAsia" w:hAnsiTheme="minorEastAsia" w:eastAsiaTheme="minorEastAsia"/>
                <w:b/>
                <w:bCs/>
                <w:i w:val="0"/>
                <w:iCs w:val="0"/>
                <w:color w:val="FFFFFF" w:themeColor="background1"/>
                <w:kern w:val="2"/>
                <w:sz w:val="20"/>
                <w:szCs w:val="20"/>
                <w:lang w:val="en-US" w:eastAsia="zh-CN" w:bidi="ar-SA"/>
                <w14:textFill>
                  <w14:solidFill>
                    <w14:schemeClr w14:val="bg1"/>
                  </w14:solidFill>
                </w14:textFill>
              </w:rPr>
              <w:t>艺术创意学院</w:t>
            </w:r>
          </w:p>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803"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电子商务</w:t>
            </w:r>
          </w:p>
        </w:tc>
        <w:tc>
          <w:tcPr>
            <w:tcW w:w="160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433</w:t>
            </w:r>
          </w:p>
        </w:tc>
        <w:tc>
          <w:tcPr>
            <w:tcW w:w="1525"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10.77</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90" w:type="dxa"/>
            <w:vMerge w:val="continue"/>
            <w:tcBorders>
              <w:left w:val="single" w:color="FFFFFF" w:themeColor="background1" w:sz="8" w:space="0"/>
              <w:right w:val="single" w:color="FFFFFF" w:themeColor="background1" w:sz="24" w:space="0"/>
              <w:insideH w:val="single" w:sz="8" w:space="0"/>
              <w:insideV w:val="single" w:sz="24" w:space="0"/>
            </w:tcBorders>
            <w:shd w:val="clear" w:color="auto" w:fill="4BACC6" w:themeFill="accent5"/>
            <w:vAlign w:val="center"/>
          </w:tcPr>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803"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广告设计与制作</w:t>
            </w:r>
          </w:p>
        </w:tc>
        <w:tc>
          <w:tcPr>
            <w:tcW w:w="160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189</w:t>
            </w:r>
          </w:p>
        </w:tc>
        <w:tc>
          <w:tcPr>
            <w:tcW w:w="1525"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cs="Times New Roman" w:asciiTheme="minorEastAsia" w:hAnsiTheme="minorEastAsia" w:eastAsiaTheme="minorEastAsia"/>
                <w:kern w:val="2"/>
                <w:sz w:val="20"/>
                <w:szCs w:val="20"/>
                <w:lang w:val="en-US" w:eastAsia="zh-CN" w:bidi="ar-SA"/>
              </w:rPr>
              <w:t>4.70</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90" w:type="dxa"/>
            <w:vMerge w:val="continue"/>
            <w:tcBorders>
              <w:left w:val="single" w:color="FFFFFF" w:themeColor="background1" w:sz="8" w:space="0"/>
              <w:bottom w:val="single" w:color="FFFFFF" w:themeColor="background1" w:sz="8" w:space="0"/>
              <w:right w:val="single" w:color="FFFFFF" w:themeColor="background1" w:sz="24" w:space="0"/>
              <w:insideH w:val="single" w:sz="8" w:space="0"/>
              <w:insideV w:val="single" w:sz="24" w:space="0"/>
            </w:tcBorders>
            <w:shd w:val="clear" w:color="auto" w:fill="4BACC6" w:themeFill="accent5"/>
            <w:vAlign w:val="center"/>
          </w:tcPr>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803"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cs="Times New Roman" w:asciiTheme="minorEastAsia" w:hAnsiTheme="minorEastAsia" w:eastAsiaTheme="minorEastAsia"/>
                <w:b/>
                <w:bCs/>
                <w:color w:val="1F497D" w:themeColor="text2"/>
                <w:kern w:val="2"/>
                <w:sz w:val="20"/>
                <w:szCs w:val="20"/>
                <w:lang w:val="en-US" w:eastAsia="zh-CN" w:bidi="ar-SA"/>
                <w14:textFill>
                  <w14:solidFill>
                    <w14:schemeClr w14:val="tx2"/>
                  </w14:solidFill>
                </w14:textFill>
              </w:rPr>
            </w:pPr>
            <w:r>
              <w:rPr>
                <w:rFonts w:hint="eastAsia" w:asciiTheme="minorEastAsia" w:hAnsiTheme="minorEastAsia" w:eastAsiaTheme="minorEastAsia"/>
                <w:sz w:val="20"/>
                <w:szCs w:val="20"/>
                <w:lang w:val="en-US" w:eastAsia="zh-CN"/>
              </w:rPr>
              <w:t>服装与服饰设计</w:t>
            </w:r>
          </w:p>
        </w:tc>
        <w:tc>
          <w:tcPr>
            <w:tcW w:w="160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cs="Times New Roman" w:asciiTheme="minorEastAsia" w:hAnsiTheme="minorEastAsia" w:eastAsiaTheme="minorEastAsia"/>
                <w:b/>
                <w:bCs/>
                <w:color w:val="1F497D" w:themeColor="text2"/>
                <w:kern w:val="2"/>
                <w:sz w:val="20"/>
                <w:szCs w:val="20"/>
                <w:lang w:val="en-US" w:eastAsia="zh-CN" w:bidi="ar-SA"/>
                <w14:textFill>
                  <w14:solidFill>
                    <w14:schemeClr w14:val="tx2"/>
                  </w14:solidFill>
                </w14:textFill>
              </w:rPr>
            </w:pPr>
            <w:r>
              <w:rPr>
                <w:rFonts w:hint="eastAsia" w:asciiTheme="minorEastAsia" w:hAnsiTheme="minorEastAsia" w:eastAsiaTheme="minorEastAsia"/>
                <w:sz w:val="20"/>
                <w:szCs w:val="20"/>
                <w:lang w:val="en-US" w:eastAsia="zh-CN"/>
              </w:rPr>
              <w:t>91</w:t>
            </w:r>
          </w:p>
        </w:tc>
        <w:tc>
          <w:tcPr>
            <w:tcW w:w="1525"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2.26</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90" w:type="dxa"/>
            <w:vMerge w:val="continue"/>
            <w:tcBorders>
              <w:top w:val="single" w:color="FFFFFF" w:themeColor="background1" w:sz="8" w:space="0"/>
              <w:left w:val="single" w:color="FFFFFF" w:themeColor="background1" w:sz="8" w:space="0"/>
              <w:bottom w:val="single" w:color="FFFFFF" w:themeColor="background1" w:sz="8" w:space="0"/>
              <w:right w:val="single" w:color="FFFFFF" w:themeColor="background1" w:sz="24" w:space="0"/>
              <w:insideH w:val="single" w:sz="8" w:space="0"/>
              <w:insideV w:val="single" w:sz="24" w:space="0"/>
            </w:tcBorders>
            <w:shd w:val="clear" w:color="auto" w:fill="4BACC6" w:themeFill="accent5"/>
            <w:vAlign w:val="center"/>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803"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right"/>
              <w:rPr>
                <w:rFonts w:asciiTheme="minorEastAsia" w:hAnsiTheme="minorEastAsia" w:eastAsiaTheme="minorEastAsia"/>
                <w:sz w:val="20"/>
                <w:szCs w:val="20"/>
                <w:highlight w:val="none"/>
                <w:lang w:val="ru-RU"/>
              </w:rPr>
            </w:pPr>
            <w:r>
              <w:rPr>
                <w:rFonts w:hint="eastAsia" w:asciiTheme="minorEastAsia" w:hAnsiTheme="minorEastAsia" w:eastAsiaTheme="minorEastAsia"/>
                <w:b/>
                <w:bCs/>
                <w:color w:val="1F497D" w:themeColor="text2"/>
                <w:sz w:val="20"/>
                <w:szCs w:val="20"/>
                <w:highlight w:val="none"/>
                <w:lang w:val="en-US" w:eastAsia="zh-CN"/>
                <w14:textFill>
                  <w14:solidFill>
                    <w14:schemeClr w14:val="tx2"/>
                  </w14:solidFill>
                </w14:textFill>
              </w:rPr>
              <w:t>艺术创意学院 汇总</w:t>
            </w:r>
          </w:p>
        </w:tc>
        <w:tc>
          <w:tcPr>
            <w:tcW w:w="160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right"/>
              <w:rPr>
                <w:rFonts w:hint="default" w:asciiTheme="minorEastAsia" w:hAnsiTheme="minorEastAsia" w:eastAsiaTheme="minorEastAsia"/>
                <w:b/>
                <w:bCs/>
                <w:sz w:val="20"/>
                <w:szCs w:val="20"/>
                <w:highlight w:val="none"/>
                <w:lang w:val="en-US" w:eastAsia="zh-CN"/>
              </w:rPr>
            </w:pPr>
            <w:r>
              <w:rPr>
                <w:rFonts w:hint="eastAsia" w:asciiTheme="minorEastAsia" w:hAnsiTheme="minorEastAsia" w:eastAsiaTheme="minorEastAsia"/>
                <w:b/>
                <w:bCs/>
                <w:color w:val="1F497D" w:themeColor="text2"/>
                <w:sz w:val="20"/>
                <w:szCs w:val="20"/>
                <w:highlight w:val="none"/>
                <w:lang w:val="en-US" w:eastAsia="zh-CN"/>
                <w14:textFill>
                  <w14:solidFill>
                    <w14:schemeClr w14:val="tx2"/>
                  </w14:solidFill>
                </w14:textFill>
              </w:rPr>
              <w:t>713</w:t>
            </w:r>
          </w:p>
        </w:tc>
        <w:tc>
          <w:tcPr>
            <w:tcW w:w="1525"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right"/>
              <w:rPr>
                <w:rFonts w:hint="default" w:asciiTheme="minorEastAsia" w:hAnsiTheme="minorEastAsia" w:eastAsiaTheme="minorEastAsia"/>
                <w:b/>
                <w:bCs/>
                <w:sz w:val="20"/>
                <w:szCs w:val="20"/>
                <w:highlight w:val="none"/>
                <w:lang w:val="en-US"/>
              </w:rPr>
            </w:pPr>
            <w:r>
              <w:rPr>
                <w:rFonts w:hint="eastAsia" w:asciiTheme="minorEastAsia" w:hAnsiTheme="minorEastAsia" w:eastAsiaTheme="minorEastAsia"/>
                <w:b/>
                <w:bCs/>
                <w:color w:val="1F497D" w:themeColor="text2"/>
                <w:sz w:val="20"/>
                <w:szCs w:val="20"/>
                <w:highlight w:val="none"/>
                <w:lang w:val="en-US" w:eastAsia="zh-CN"/>
                <w14:textFill>
                  <w14:solidFill>
                    <w14:schemeClr w14:val="tx2"/>
                  </w14:solidFill>
                </w14:textFill>
              </w:rPr>
              <w:t>17.73</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90" w:type="dxa"/>
            <w:vMerge w:val="restart"/>
            <w:tcBorders>
              <w:top w:val="single" w:color="FFFFFF" w:themeColor="background1" w:sz="8" w:space="0"/>
              <w:left w:val="single" w:color="FFFFFF" w:themeColor="background1" w:sz="8" w:space="0"/>
              <w:right w:val="single" w:color="FFFFFF" w:themeColor="background1" w:sz="24" w:space="0"/>
              <w:insideH w:val="single" w:sz="8" w:space="0"/>
              <w:insideV w:val="single" w:sz="24" w:space="0"/>
            </w:tcBorders>
            <w:shd w:val="clear" w:color="auto" w:fill="4BACC6" w:themeFill="accent5"/>
            <w:vAlign w:val="center"/>
          </w:tcPr>
          <w:p>
            <w:pPr>
              <w:jc w:val="center"/>
              <w:rPr>
                <w:rFonts w:hint="eastAsia" w:cs="Times New Roman" w:asciiTheme="minorEastAsia" w:hAnsiTheme="minorEastAsia" w:eastAsiaTheme="minorEastAsia"/>
                <w:b/>
                <w:bCs/>
                <w:i w:val="0"/>
                <w:iCs w:val="0"/>
                <w:color w:val="FFFFFF" w:themeColor="background1"/>
                <w:kern w:val="2"/>
                <w:sz w:val="20"/>
                <w:szCs w:val="20"/>
                <w:lang w:val="en-US" w:eastAsia="zh-CN" w:bidi="ar-SA"/>
                <w14:textFill>
                  <w14:solidFill>
                    <w14:schemeClr w14:val="bg1"/>
                  </w14:solidFill>
                </w14:textFill>
              </w:rPr>
            </w:pPr>
            <w: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t>生物工程</w:t>
            </w:r>
            <w:r>
              <w:rPr>
                <w:rFonts w:hint="eastAsia" w:asciiTheme="minorEastAsia" w:hAnsiTheme="minorEastAsia" w:eastAsiaTheme="minorEastAsia"/>
                <w:b/>
                <w:bCs/>
                <w:i w:val="0"/>
                <w:iCs w:val="0"/>
                <w:color w:val="FFFFFF" w:themeColor="background1"/>
                <w:sz w:val="20"/>
                <w:szCs w:val="20"/>
                <w:lang w:val="en-US" w:eastAsia="zh-CN"/>
                <w14:textFill>
                  <w14:solidFill>
                    <w14:schemeClr w14:val="bg1"/>
                  </w14:solidFill>
                </w14:textFill>
              </w:rPr>
              <w:t>学院</w:t>
            </w:r>
          </w:p>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803"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eastAsia" w:cs="Times New Roman" w:asciiTheme="minorEastAsia" w:hAnsiTheme="minorEastAsia" w:eastAsiaTheme="minorEastAsia"/>
                <w:kern w:val="2"/>
                <w:sz w:val="20"/>
                <w:szCs w:val="20"/>
                <w:lang w:val="ru-RU" w:eastAsia="zh-CN" w:bidi="ar-SA"/>
              </w:rPr>
            </w:pPr>
            <w:r>
              <w:rPr>
                <w:rFonts w:hint="eastAsia" w:asciiTheme="minorEastAsia" w:hAnsiTheme="minorEastAsia" w:eastAsiaTheme="minorEastAsia"/>
                <w:sz w:val="20"/>
                <w:szCs w:val="20"/>
                <w:lang w:val="ru-RU"/>
              </w:rPr>
              <w:t>动物医学</w:t>
            </w:r>
          </w:p>
        </w:tc>
        <w:tc>
          <w:tcPr>
            <w:tcW w:w="160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266</w:t>
            </w:r>
          </w:p>
        </w:tc>
        <w:tc>
          <w:tcPr>
            <w:tcW w:w="1525"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6.61</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rPr>
          <w:trHeight w:val="252" w:hRule="atLeast"/>
        </w:trPr>
        <w:tc>
          <w:tcPr>
            <w:tcW w:w="2390" w:type="dxa"/>
            <w:vMerge w:val="continue"/>
            <w:tcBorders>
              <w:left w:val="single" w:color="FFFFFF" w:themeColor="background1" w:sz="8" w:space="0"/>
              <w:right w:val="single" w:color="FFFFFF" w:themeColor="background1" w:sz="24" w:space="0"/>
              <w:insideH w:val="single" w:sz="8" w:space="0"/>
              <w:insideV w:val="single" w:sz="24" w:space="0"/>
            </w:tcBorders>
            <w:shd w:val="clear" w:color="auto" w:fill="4BACC6" w:themeFill="accent5"/>
            <w:vAlign w:val="center"/>
          </w:tcPr>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803"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eastAsia" w:cs="Times New Roman" w:asciiTheme="minorEastAsia" w:hAnsiTheme="minorEastAsia" w:eastAsiaTheme="minorEastAsia"/>
                <w:kern w:val="2"/>
                <w:sz w:val="20"/>
                <w:szCs w:val="20"/>
                <w:lang w:val="ru-RU" w:eastAsia="zh-CN" w:bidi="ar-SA"/>
              </w:rPr>
            </w:pPr>
            <w:r>
              <w:rPr>
                <w:rFonts w:hint="eastAsia" w:asciiTheme="minorEastAsia" w:hAnsiTheme="minorEastAsia" w:eastAsiaTheme="minorEastAsia"/>
                <w:sz w:val="20"/>
                <w:szCs w:val="20"/>
                <w:lang w:val="ru-RU"/>
              </w:rPr>
              <w:t>药品生产技术</w:t>
            </w:r>
          </w:p>
        </w:tc>
        <w:tc>
          <w:tcPr>
            <w:tcW w:w="160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81</w:t>
            </w:r>
          </w:p>
        </w:tc>
        <w:tc>
          <w:tcPr>
            <w:tcW w:w="1525"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2.01</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90" w:type="dxa"/>
            <w:vMerge w:val="continue"/>
            <w:tcBorders>
              <w:left w:val="single" w:color="FFFFFF" w:themeColor="background1" w:sz="8" w:space="0"/>
              <w:right w:val="single" w:color="FFFFFF" w:themeColor="background1" w:sz="24" w:space="0"/>
              <w:insideH w:val="single" w:sz="8" w:space="0"/>
              <w:insideV w:val="single" w:sz="24" w:space="0"/>
            </w:tcBorders>
            <w:shd w:val="clear" w:color="auto" w:fill="4BACC6" w:themeFill="accent5"/>
            <w:vAlign w:val="center"/>
          </w:tcPr>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803"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ru-RU" w:eastAsia="zh-CN" w:bidi="ar-SA"/>
              </w:rPr>
            </w:pPr>
            <w:r>
              <w:rPr>
                <w:rFonts w:hint="eastAsia" w:asciiTheme="minorEastAsia" w:hAnsiTheme="minorEastAsia" w:eastAsiaTheme="minorEastAsia"/>
                <w:sz w:val="20"/>
                <w:szCs w:val="20"/>
                <w:lang w:val="en-US" w:eastAsia="zh-CN"/>
              </w:rPr>
              <w:t>宠物临床诊疗技术</w:t>
            </w:r>
          </w:p>
        </w:tc>
        <w:tc>
          <w:tcPr>
            <w:tcW w:w="160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38</w:t>
            </w:r>
          </w:p>
        </w:tc>
        <w:tc>
          <w:tcPr>
            <w:tcW w:w="1525"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0.94</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90" w:type="dxa"/>
            <w:vMerge w:val="continue"/>
            <w:tcBorders>
              <w:left w:val="single" w:color="FFFFFF" w:themeColor="background1" w:sz="8" w:space="0"/>
              <w:right w:val="single" w:color="FFFFFF" w:themeColor="background1" w:sz="24" w:space="0"/>
              <w:insideH w:val="single" w:sz="8" w:space="0"/>
              <w:insideV w:val="single" w:sz="24" w:space="0"/>
            </w:tcBorders>
            <w:shd w:val="clear" w:color="auto" w:fill="4BACC6" w:themeFill="accent5"/>
            <w:vAlign w:val="center"/>
          </w:tcPr>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803"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right"/>
              <w:rPr>
                <w:rFonts w:hint="default" w:cs="Times New Roman" w:asciiTheme="minorEastAsia" w:hAnsiTheme="minorEastAsia" w:eastAsiaTheme="minorEastAsia"/>
                <w:b/>
                <w:bCs/>
                <w:color w:val="1F497D" w:themeColor="text2"/>
                <w:kern w:val="2"/>
                <w:sz w:val="20"/>
                <w:szCs w:val="20"/>
                <w:highlight w:val="none"/>
                <w:lang w:val="ru-RU" w:eastAsia="zh-CN" w:bidi="ar-SA"/>
                <w14:textFill>
                  <w14:solidFill>
                    <w14:schemeClr w14:val="tx2"/>
                  </w14:solidFill>
                </w14:textFill>
              </w:rPr>
            </w:pPr>
            <w:r>
              <w:rPr>
                <w:rFonts w:hint="eastAsia" w:asciiTheme="minorEastAsia" w:hAnsiTheme="minorEastAsia" w:eastAsiaTheme="minorEastAsia"/>
                <w:b/>
                <w:bCs/>
                <w:color w:val="1F497D" w:themeColor="text2"/>
                <w:sz w:val="20"/>
                <w:szCs w:val="20"/>
                <w:highlight w:val="none"/>
                <w:lang w:val="en-US" w:eastAsia="zh-CN"/>
                <w14:textFill>
                  <w14:solidFill>
                    <w14:schemeClr w14:val="tx2"/>
                  </w14:solidFill>
                </w14:textFill>
              </w:rPr>
              <w:t>生物工程学院 汇总</w:t>
            </w:r>
          </w:p>
        </w:tc>
        <w:tc>
          <w:tcPr>
            <w:tcW w:w="160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right"/>
              <w:rPr>
                <w:rFonts w:hint="default" w:cs="Times New Roman" w:asciiTheme="minorEastAsia" w:hAnsiTheme="minorEastAsia" w:eastAsiaTheme="minorEastAsia"/>
                <w:b/>
                <w:bCs/>
                <w:color w:val="1F497D" w:themeColor="text2"/>
                <w:kern w:val="2"/>
                <w:sz w:val="20"/>
                <w:szCs w:val="20"/>
                <w:highlight w:val="none"/>
                <w:lang w:val="en-US" w:eastAsia="zh-CN" w:bidi="ar-SA"/>
                <w14:textFill>
                  <w14:solidFill>
                    <w14:schemeClr w14:val="tx2"/>
                  </w14:solidFill>
                </w14:textFill>
              </w:rPr>
            </w:pPr>
            <w:r>
              <w:rPr>
                <w:rFonts w:hint="eastAsia" w:cs="Times New Roman" w:asciiTheme="minorEastAsia" w:hAnsiTheme="minorEastAsia" w:eastAsiaTheme="minorEastAsia"/>
                <w:b/>
                <w:bCs/>
                <w:color w:val="1F497D" w:themeColor="text2"/>
                <w:kern w:val="2"/>
                <w:sz w:val="20"/>
                <w:szCs w:val="20"/>
                <w:highlight w:val="none"/>
                <w:lang w:val="en-US" w:eastAsia="zh-CN" w:bidi="ar-SA"/>
                <w14:textFill>
                  <w14:solidFill>
                    <w14:schemeClr w14:val="tx2"/>
                  </w14:solidFill>
                </w14:textFill>
              </w:rPr>
              <w:t>385</w:t>
            </w:r>
          </w:p>
        </w:tc>
        <w:tc>
          <w:tcPr>
            <w:tcW w:w="1525"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right"/>
              <w:rPr>
                <w:rFonts w:hint="default" w:cs="Times New Roman" w:asciiTheme="minorEastAsia" w:hAnsiTheme="minorEastAsia" w:eastAsiaTheme="minorEastAsia"/>
                <w:kern w:val="2"/>
                <w:sz w:val="20"/>
                <w:szCs w:val="20"/>
                <w:highlight w:val="none"/>
                <w:lang w:val="en-US" w:eastAsia="zh-CN" w:bidi="ar-SA"/>
              </w:rPr>
            </w:pPr>
            <w:r>
              <w:rPr>
                <w:rFonts w:hint="eastAsia" w:asciiTheme="minorEastAsia" w:hAnsiTheme="minorEastAsia" w:eastAsiaTheme="minorEastAsia"/>
                <w:b/>
                <w:bCs/>
                <w:color w:val="1F497D" w:themeColor="text2"/>
                <w:sz w:val="20"/>
                <w:szCs w:val="20"/>
                <w:highlight w:val="none"/>
                <w:lang w:val="en-US" w:eastAsia="zh-CN"/>
                <w14:textFill>
                  <w14:solidFill>
                    <w14:schemeClr w14:val="tx2"/>
                  </w14:solidFill>
                </w14:textFill>
              </w:rPr>
              <w:t>9.57</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rPr>
          <w:trHeight w:val="90" w:hRule="atLeast"/>
        </w:trPr>
        <w:tc>
          <w:tcPr>
            <w:tcW w:w="2390" w:type="dxa"/>
            <w:vMerge w:val="restart"/>
            <w:tcBorders>
              <w:left w:val="single" w:color="FFFFFF" w:themeColor="background1" w:sz="8" w:space="0"/>
              <w:right w:val="single" w:color="FFFFFF" w:themeColor="background1" w:sz="24" w:space="0"/>
              <w:insideH w:val="nil"/>
              <w:insideV w:val="single" w:sz="24" w:space="0"/>
            </w:tcBorders>
            <w:shd w:val="clear" w:color="auto" w:fill="4BACC6" w:themeFill="accent5"/>
            <w:vAlign w:val="center"/>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t>汽车与智能制造学院</w:t>
            </w:r>
          </w:p>
        </w:tc>
        <w:tc>
          <w:tcPr>
            <w:tcW w:w="2803" w:type="dxa"/>
            <w:shd w:val="clear" w:color="auto" w:fill="92CDDC" w:themeFill="accent5" w:themeFillTint="99"/>
            <w:vAlign w:val="top"/>
          </w:tcPr>
          <w:p>
            <w:pPr>
              <w:jc w:val="center"/>
              <w:rPr>
                <w:rFonts w:asciiTheme="minorEastAsia" w:hAnsiTheme="minorEastAsia" w:eastAsiaTheme="minorEastAsia"/>
                <w:sz w:val="20"/>
                <w:szCs w:val="20"/>
                <w:lang w:val="ru-RU"/>
              </w:rPr>
            </w:pPr>
            <w:r>
              <w:rPr>
                <w:rFonts w:hint="eastAsia" w:asciiTheme="minorEastAsia" w:hAnsiTheme="minorEastAsia" w:eastAsiaTheme="minorEastAsia"/>
                <w:sz w:val="20"/>
                <w:szCs w:val="20"/>
                <w:lang w:val="en-US" w:eastAsia="zh-CN"/>
              </w:rPr>
              <w:t>工业机器人技术</w:t>
            </w:r>
          </w:p>
        </w:tc>
        <w:tc>
          <w:tcPr>
            <w:tcW w:w="1600" w:type="dxa"/>
            <w:shd w:val="clear" w:color="auto" w:fill="92CDDC" w:themeFill="accent5" w:themeFillTint="99"/>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188</w:t>
            </w:r>
          </w:p>
        </w:tc>
        <w:tc>
          <w:tcPr>
            <w:tcW w:w="1525" w:type="dxa"/>
            <w:shd w:val="clear" w:color="auto" w:fill="92CDDC" w:themeFill="accent5" w:themeFillTint="99"/>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4.67</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90"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top"/>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803"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asciiTheme="minorEastAsia" w:hAnsiTheme="minorEastAsia" w:eastAsiaTheme="minorEastAsia"/>
                <w:sz w:val="20"/>
                <w:szCs w:val="20"/>
                <w:lang w:val="ru-RU"/>
              </w:rPr>
            </w:pPr>
            <w:r>
              <w:rPr>
                <w:rFonts w:hint="eastAsia" w:asciiTheme="minorEastAsia" w:hAnsiTheme="minorEastAsia" w:eastAsiaTheme="minorEastAsia"/>
                <w:sz w:val="20"/>
                <w:szCs w:val="20"/>
                <w:lang w:val="ru-RU"/>
              </w:rPr>
              <w:t>汽车检测与维修技术</w:t>
            </w:r>
          </w:p>
        </w:tc>
        <w:tc>
          <w:tcPr>
            <w:tcW w:w="160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168</w:t>
            </w:r>
          </w:p>
        </w:tc>
        <w:tc>
          <w:tcPr>
            <w:tcW w:w="1525"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4.18</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90"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top"/>
          </w:tcPr>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803" w:type="dxa"/>
            <w:shd w:val="clear" w:color="auto" w:fill="92CDDC" w:themeFill="accent5" w:themeFillTint="99"/>
            <w:vAlign w:val="top"/>
          </w:tcPr>
          <w:p>
            <w:pPr>
              <w:jc w:val="right"/>
              <w:rPr>
                <w:rFonts w:hint="default" w:asciiTheme="minorEastAsia" w:hAnsiTheme="minorEastAsia" w:eastAsiaTheme="minorEastAsia"/>
                <w:b w:val="0"/>
                <w:bCs w:val="0"/>
                <w:color w:val="1F497D" w:themeColor="text2"/>
                <w:sz w:val="20"/>
                <w:szCs w:val="20"/>
                <w:highlight w:val="none"/>
                <w:lang w:val="en-US" w:eastAsia="zh-CN"/>
                <w14:textFill>
                  <w14:solidFill>
                    <w14:schemeClr w14:val="tx2"/>
                  </w14:solidFill>
                </w14:textFill>
              </w:rPr>
            </w:pPr>
            <w:r>
              <w:rPr>
                <w:rFonts w:hint="eastAsia" w:asciiTheme="minorEastAsia" w:hAnsiTheme="minorEastAsia" w:eastAsiaTheme="minorEastAsia"/>
                <w:b/>
                <w:bCs/>
                <w:color w:val="1F497D" w:themeColor="text2"/>
                <w:sz w:val="20"/>
                <w:szCs w:val="20"/>
                <w:highlight w:val="none"/>
                <w:lang w:val="en-US" w:eastAsia="zh-CN"/>
                <w14:textFill>
                  <w14:solidFill>
                    <w14:schemeClr w14:val="tx2"/>
                  </w14:solidFill>
                </w14:textFill>
              </w:rPr>
              <w:t>汽车与智能制造学院 汇总</w:t>
            </w:r>
          </w:p>
        </w:tc>
        <w:tc>
          <w:tcPr>
            <w:tcW w:w="1600" w:type="dxa"/>
            <w:shd w:val="clear" w:color="auto" w:fill="92CDDC" w:themeFill="accent5" w:themeFillTint="99"/>
            <w:vAlign w:val="top"/>
          </w:tcPr>
          <w:p>
            <w:pPr>
              <w:jc w:val="right"/>
              <w:rPr>
                <w:rFonts w:hint="default" w:asciiTheme="minorEastAsia" w:hAnsiTheme="minorEastAsia" w:eastAsiaTheme="minorEastAsia"/>
                <w:b/>
                <w:bCs/>
                <w:color w:val="1F497D" w:themeColor="text2"/>
                <w:sz w:val="20"/>
                <w:szCs w:val="20"/>
                <w:highlight w:val="none"/>
                <w:lang w:val="en-US" w:eastAsia="zh-CN"/>
                <w14:textFill>
                  <w14:solidFill>
                    <w14:schemeClr w14:val="tx2"/>
                  </w14:solidFill>
                </w14:textFill>
              </w:rPr>
            </w:pPr>
            <w:r>
              <w:rPr>
                <w:rFonts w:hint="eastAsia" w:asciiTheme="minorEastAsia" w:hAnsiTheme="minorEastAsia" w:eastAsiaTheme="minorEastAsia"/>
                <w:b/>
                <w:bCs/>
                <w:color w:val="1F497D" w:themeColor="text2"/>
                <w:sz w:val="20"/>
                <w:szCs w:val="20"/>
                <w:highlight w:val="none"/>
                <w:lang w:val="en-US" w:eastAsia="zh-CN"/>
                <w14:textFill>
                  <w14:solidFill>
                    <w14:schemeClr w14:val="tx2"/>
                  </w14:solidFill>
                </w14:textFill>
              </w:rPr>
              <w:t>356</w:t>
            </w:r>
          </w:p>
        </w:tc>
        <w:tc>
          <w:tcPr>
            <w:tcW w:w="1525" w:type="dxa"/>
            <w:shd w:val="clear" w:color="auto" w:fill="92CDDC" w:themeFill="accent5" w:themeFillTint="99"/>
            <w:vAlign w:val="top"/>
          </w:tcPr>
          <w:p>
            <w:pPr>
              <w:jc w:val="right"/>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b/>
                <w:bCs/>
                <w:color w:val="1F497D" w:themeColor="text2"/>
                <w:sz w:val="20"/>
                <w:szCs w:val="20"/>
                <w:highlight w:val="none"/>
                <w:lang w:val="en-US" w:eastAsia="zh-CN"/>
                <w14:textFill>
                  <w14:solidFill>
                    <w14:schemeClr w14:val="tx2"/>
                  </w14:solidFill>
                </w14:textFill>
              </w:rPr>
              <w:t>8.85</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90" w:type="dxa"/>
            <w:vMerge w:val="restart"/>
            <w:tcBorders>
              <w:left w:val="single" w:color="FFFFFF" w:themeColor="background1" w:sz="8" w:space="0"/>
              <w:right w:val="single" w:color="FFFFFF" w:themeColor="background1" w:sz="24" w:space="0"/>
              <w:insideH w:val="nil"/>
              <w:insideV w:val="single" w:sz="24" w:space="0"/>
            </w:tcBorders>
            <w:shd w:val="clear" w:color="auto" w:fill="4BACC6" w:themeFill="accent5"/>
            <w:vAlign w:val="center"/>
          </w:tcPr>
          <w:p>
            <w:pPr>
              <w:jc w:val="center"/>
              <w:rPr>
                <w:rFonts w:hint="default" w:cs="Times New Roman" w:asciiTheme="minorEastAsia" w:hAnsiTheme="minorEastAsia" w:eastAsiaTheme="minorEastAsia"/>
                <w:b/>
                <w:bCs/>
                <w:i w:val="0"/>
                <w:iCs w:val="0"/>
                <w:color w:val="FFFFFF" w:themeColor="background1"/>
                <w:kern w:val="2"/>
                <w:sz w:val="20"/>
                <w:szCs w:val="20"/>
                <w:lang w:val="en-US" w:eastAsia="zh-CN" w:bidi="ar-SA"/>
                <w14:textFill>
                  <w14:solidFill>
                    <w14:schemeClr w14:val="bg1"/>
                  </w14:solidFill>
                </w14:textFill>
              </w:rPr>
            </w:pPr>
            <w:r>
              <w:rPr>
                <w:rFonts w:hint="eastAsia" w:cs="Times New Roman" w:asciiTheme="minorEastAsia" w:hAnsiTheme="minorEastAsia" w:eastAsiaTheme="minorEastAsia"/>
                <w:b/>
                <w:bCs/>
                <w:i w:val="0"/>
                <w:iCs w:val="0"/>
                <w:color w:val="FFFFFF" w:themeColor="background1"/>
                <w:kern w:val="2"/>
                <w:sz w:val="20"/>
                <w:szCs w:val="20"/>
                <w:lang w:val="en-US" w:eastAsia="zh-CN" w:bidi="ar-SA"/>
                <w14:textFill>
                  <w14:solidFill>
                    <w14:schemeClr w14:val="bg1"/>
                  </w14:solidFill>
                </w14:textFill>
              </w:rPr>
              <w:t>建筑工程学院</w:t>
            </w:r>
          </w:p>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803" w:type="dxa"/>
            <w:shd w:val="clear" w:color="auto" w:fill="D2EAF0" w:themeFill="accent5" w:themeFillTint="3F"/>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ru-RU"/>
              </w:rPr>
              <w:t>建筑工程技术</w:t>
            </w:r>
          </w:p>
        </w:tc>
        <w:tc>
          <w:tcPr>
            <w:tcW w:w="1600" w:type="dxa"/>
            <w:shd w:val="clear" w:color="auto" w:fill="D2EAF0" w:themeFill="accent5" w:themeFillTint="3F"/>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496</w:t>
            </w:r>
          </w:p>
        </w:tc>
        <w:tc>
          <w:tcPr>
            <w:tcW w:w="1525" w:type="dxa"/>
            <w:shd w:val="clear" w:color="auto" w:fill="D2EAF0" w:themeFill="accent5" w:themeFillTint="3F"/>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12.33</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90"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center"/>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803" w:type="dxa"/>
            <w:shd w:val="clear" w:color="auto" w:fill="92CDDC" w:themeFill="accent5" w:themeFillTint="99"/>
            <w:vAlign w:val="top"/>
          </w:tcPr>
          <w:p>
            <w:pPr>
              <w:jc w:val="center"/>
              <w:rPr>
                <w:rFonts w:hint="eastAsia" w:cs="Times New Roman" w:asciiTheme="minorEastAsia" w:hAnsiTheme="minorEastAsia" w:eastAsiaTheme="minorEastAsia"/>
                <w:kern w:val="2"/>
                <w:sz w:val="20"/>
                <w:szCs w:val="20"/>
                <w:lang w:val="ru-RU" w:eastAsia="zh-CN" w:bidi="ar-SA"/>
              </w:rPr>
            </w:pPr>
            <w:r>
              <w:rPr>
                <w:rFonts w:hint="eastAsia" w:asciiTheme="minorEastAsia" w:hAnsiTheme="minorEastAsia" w:eastAsiaTheme="minorEastAsia"/>
                <w:sz w:val="20"/>
                <w:szCs w:val="20"/>
                <w:lang w:val="en-US" w:eastAsia="zh-CN"/>
              </w:rPr>
              <w:t>建筑装饰工程技术</w:t>
            </w:r>
          </w:p>
        </w:tc>
        <w:tc>
          <w:tcPr>
            <w:tcW w:w="1600" w:type="dxa"/>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143</w:t>
            </w:r>
          </w:p>
        </w:tc>
        <w:tc>
          <w:tcPr>
            <w:tcW w:w="1525" w:type="dxa"/>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3.56</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90"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top"/>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803"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ru-RU"/>
              </w:rPr>
              <w:t>工程造价</w:t>
            </w:r>
          </w:p>
        </w:tc>
        <w:tc>
          <w:tcPr>
            <w:tcW w:w="160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79</w:t>
            </w:r>
          </w:p>
        </w:tc>
        <w:tc>
          <w:tcPr>
            <w:tcW w:w="1525"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1.97</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90"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top"/>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803" w:type="dxa"/>
            <w:shd w:val="clear" w:color="auto" w:fill="92CDDC" w:themeFill="accent5" w:themeFillTint="99"/>
            <w:vAlign w:val="top"/>
          </w:tcPr>
          <w:p>
            <w:pPr>
              <w:jc w:val="right"/>
              <w:rPr>
                <w:rFonts w:hint="default" w:cs="Times New Roman" w:asciiTheme="minorEastAsia" w:hAnsiTheme="minorEastAsia" w:eastAsiaTheme="minorEastAsia"/>
                <w:kern w:val="2"/>
                <w:sz w:val="20"/>
                <w:szCs w:val="20"/>
                <w:highlight w:val="none"/>
                <w:lang w:val="en-US" w:eastAsia="zh-CN" w:bidi="ar-SA"/>
              </w:rPr>
            </w:pPr>
            <w:r>
              <w:rPr>
                <w:rFonts w:hint="eastAsia" w:asciiTheme="minorEastAsia" w:hAnsiTheme="minorEastAsia" w:eastAsiaTheme="minorEastAsia"/>
                <w:b/>
                <w:bCs/>
                <w:color w:val="1F497D" w:themeColor="text2"/>
                <w:sz w:val="20"/>
                <w:szCs w:val="20"/>
                <w:highlight w:val="none"/>
                <w:lang w:val="en-US" w:eastAsia="zh-CN"/>
                <w14:textFill>
                  <w14:solidFill>
                    <w14:schemeClr w14:val="tx2"/>
                  </w14:solidFill>
                </w14:textFill>
              </w:rPr>
              <w:t>建筑工程学院 汇总</w:t>
            </w:r>
          </w:p>
        </w:tc>
        <w:tc>
          <w:tcPr>
            <w:tcW w:w="1600" w:type="dxa"/>
            <w:shd w:val="clear" w:color="auto" w:fill="92CDDC" w:themeFill="accent5" w:themeFillTint="99"/>
            <w:vAlign w:val="top"/>
          </w:tcPr>
          <w:p>
            <w:pPr>
              <w:jc w:val="right"/>
              <w:rPr>
                <w:rFonts w:hint="default" w:cs="Times New Roman" w:asciiTheme="minorEastAsia" w:hAnsiTheme="minorEastAsia" w:eastAsiaTheme="minorEastAsia"/>
                <w:kern w:val="2"/>
                <w:sz w:val="20"/>
                <w:szCs w:val="20"/>
                <w:highlight w:val="none"/>
                <w:lang w:val="en-US" w:eastAsia="zh-CN" w:bidi="ar-SA"/>
              </w:rPr>
            </w:pPr>
            <w:r>
              <w:rPr>
                <w:rFonts w:hint="eastAsia" w:asciiTheme="minorEastAsia" w:hAnsiTheme="minorEastAsia" w:eastAsiaTheme="minorEastAsia"/>
                <w:b/>
                <w:bCs/>
                <w:color w:val="1F497D" w:themeColor="text2"/>
                <w:sz w:val="20"/>
                <w:szCs w:val="20"/>
                <w:highlight w:val="none"/>
                <w:lang w:val="en-US" w:eastAsia="zh-CN"/>
                <w14:textFill>
                  <w14:solidFill>
                    <w14:schemeClr w14:val="tx2"/>
                  </w14:solidFill>
                </w14:textFill>
              </w:rPr>
              <w:t>718</w:t>
            </w:r>
          </w:p>
        </w:tc>
        <w:tc>
          <w:tcPr>
            <w:tcW w:w="1525" w:type="dxa"/>
            <w:shd w:val="clear" w:color="auto" w:fill="92CDDC" w:themeFill="accent5" w:themeFillTint="99"/>
            <w:vAlign w:val="top"/>
          </w:tcPr>
          <w:p>
            <w:pPr>
              <w:jc w:val="right"/>
              <w:rPr>
                <w:rFonts w:hint="default" w:cs="Times New Roman" w:asciiTheme="minorEastAsia" w:hAnsiTheme="minorEastAsia" w:eastAsiaTheme="minorEastAsia"/>
                <w:kern w:val="2"/>
                <w:sz w:val="20"/>
                <w:szCs w:val="20"/>
                <w:highlight w:val="none"/>
                <w:lang w:val="en-US" w:eastAsia="zh-CN" w:bidi="ar-SA"/>
              </w:rPr>
            </w:pPr>
            <w:r>
              <w:rPr>
                <w:rFonts w:hint="eastAsia" w:asciiTheme="minorEastAsia" w:hAnsiTheme="minorEastAsia" w:eastAsiaTheme="minorEastAsia"/>
                <w:b/>
                <w:bCs/>
                <w:color w:val="1F497D" w:themeColor="text2"/>
                <w:sz w:val="20"/>
                <w:szCs w:val="20"/>
                <w:highlight w:val="none"/>
                <w:lang w:val="en-US" w:eastAsia="zh-CN"/>
                <w14:textFill>
                  <w14:solidFill>
                    <w14:schemeClr w14:val="tx2"/>
                  </w14:solidFill>
                </w14:textFill>
              </w:rPr>
              <w:t>17.85</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90" w:type="dxa"/>
            <w:vMerge w:val="restart"/>
            <w:tcBorders>
              <w:left w:val="single" w:color="FFFFFF" w:themeColor="background1" w:sz="8" w:space="0"/>
              <w:right w:val="single" w:color="FFFFFF" w:themeColor="background1" w:sz="24" w:space="0"/>
              <w:insideH w:val="nil"/>
              <w:insideV w:val="single" w:sz="24" w:space="0"/>
            </w:tcBorders>
            <w:shd w:val="clear" w:color="auto" w:fill="4BACC6" w:themeFill="accent5"/>
            <w:vAlign w:val="center"/>
          </w:tcPr>
          <w:p>
            <w:pPr>
              <w:jc w:val="center"/>
              <w:rPr>
                <w:rFonts w:hint="default" w:cs="Times New Roman" w:asciiTheme="minorEastAsia" w:hAnsiTheme="minorEastAsia" w:eastAsiaTheme="minorEastAsia"/>
                <w:b/>
                <w:bCs/>
                <w:i w:val="0"/>
                <w:iCs w:val="0"/>
                <w:color w:val="FFFFFF" w:themeColor="background1"/>
                <w:kern w:val="2"/>
                <w:sz w:val="20"/>
                <w:szCs w:val="20"/>
                <w:lang w:val="en-US" w:eastAsia="zh-CN" w:bidi="ar-SA"/>
                <w14:textFill>
                  <w14:solidFill>
                    <w14:schemeClr w14:val="bg1"/>
                  </w14:solidFill>
                </w14:textFill>
              </w:rPr>
            </w:pPr>
            <w:r>
              <w:rPr>
                <w:rFonts w:hint="eastAsia" w:cs="Times New Roman" w:asciiTheme="minorEastAsia" w:hAnsiTheme="minorEastAsia" w:eastAsiaTheme="minorEastAsia"/>
                <w:b/>
                <w:bCs/>
                <w:i w:val="0"/>
                <w:iCs w:val="0"/>
                <w:color w:val="FFFFFF" w:themeColor="background1"/>
                <w:kern w:val="2"/>
                <w:sz w:val="20"/>
                <w:szCs w:val="20"/>
                <w:lang w:val="en-US" w:eastAsia="zh-CN" w:bidi="ar-SA"/>
                <w14:textFill>
                  <w14:solidFill>
                    <w14:schemeClr w14:val="bg1"/>
                  </w14:solidFill>
                </w14:textFill>
              </w:rPr>
              <w:t>信息技术学院</w:t>
            </w:r>
          </w:p>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803" w:type="dxa"/>
            <w:shd w:val="clear" w:color="auto" w:fill="D2EAF0" w:themeFill="accent5" w:themeFillTint="3F"/>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ru-RU"/>
              </w:rPr>
              <w:t>计算机应用技术</w:t>
            </w:r>
          </w:p>
        </w:tc>
        <w:tc>
          <w:tcPr>
            <w:tcW w:w="1600" w:type="dxa"/>
            <w:shd w:val="clear" w:color="auto" w:fill="D2EAF0" w:themeFill="accent5" w:themeFillTint="3F"/>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477</w:t>
            </w:r>
          </w:p>
        </w:tc>
        <w:tc>
          <w:tcPr>
            <w:tcW w:w="1525" w:type="dxa"/>
            <w:shd w:val="clear" w:color="auto" w:fill="D2EAF0" w:themeFill="accent5" w:themeFillTint="3F"/>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11.86</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90"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center"/>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803" w:type="dxa"/>
            <w:shd w:val="clear" w:color="auto" w:fill="92CDDC" w:themeFill="accent5" w:themeFillTint="99"/>
            <w:vAlign w:val="top"/>
          </w:tcPr>
          <w:p>
            <w:pPr>
              <w:jc w:val="center"/>
              <w:rPr>
                <w:rFonts w:hint="eastAsia" w:cs="Times New Roman" w:asciiTheme="minorEastAsia" w:hAnsiTheme="minorEastAsia" w:eastAsiaTheme="minorEastAsia"/>
                <w:kern w:val="2"/>
                <w:sz w:val="20"/>
                <w:szCs w:val="20"/>
                <w:lang w:val="ru-RU" w:eastAsia="zh-CN" w:bidi="ar-SA"/>
              </w:rPr>
            </w:pPr>
            <w:r>
              <w:rPr>
                <w:rFonts w:hint="eastAsia" w:asciiTheme="minorEastAsia" w:hAnsiTheme="minorEastAsia" w:eastAsiaTheme="minorEastAsia"/>
                <w:sz w:val="20"/>
                <w:szCs w:val="20"/>
                <w:lang w:val="en-US" w:eastAsia="zh-CN"/>
              </w:rPr>
              <w:t>计算机网络技术</w:t>
            </w:r>
          </w:p>
        </w:tc>
        <w:tc>
          <w:tcPr>
            <w:tcW w:w="1600" w:type="dxa"/>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79</w:t>
            </w:r>
          </w:p>
        </w:tc>
        <w:tc>
          <w:tcPr>
            <w:tcW w:w="1525" w:type="dxa"/>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1.96</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90"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top"/>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803"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ru-RU"/>
              </w:rPr>
              <w:t>移动互联</w:t>
            </w:r>
            <w:r>
              <w:rPr>
                <w:rFonts w:hint="eastAsia" w:asciiTheme="minorEastAsia" w:hAnsiTheme="minorEastAsia" w:eastAsiaTheme="minorEastAsia"/>
                <w:sz w:val="20"/>
                <w:szCs w:val="20"/>
                <w:lang w:val="en-US" w:eastAsia="zh-CN"/>
              </w:rPr>
              <w:t>应用</w:t>
            </w:r>
            <w:r>
              <w:rPr>
                <w:rFonts w:hint="eastAsia" w:asciiTheme="minorEastAsia" w:hAnsiTheme="minorEastAsia" w:eastAsiaTheme="minorEastAsia"/>
                <w:sz w:val="20"/>
                <w:szCs w:val="20"/>
                <w:lang w:val="ru-RU"/>
              </w:rPr>
              <w:t>技术</w:t>
            </w:r>
          </w:p>
        </w:tc>
        <w:tc>
          <w:tcPr>
            <w:tcW w:w="160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40</w:t>
            </w:r>
          </w:p>
        </w:tc>
        <w:tc>
          <w:tcPr>
            <w:tcW w:w="1525"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0.99</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90"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top"/>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803" w:type="dxa"/>
            <w:shd w:val="clear" w:color="auto" w:fill="92CDDC" w:themeFill="accent5" w:themeFillTint="99"/>
            <w:vAlign w:val="top"/>
          </w:tcPr>
          <w:p>
            <w:pPr>
              <w:jc w:val="right"/>
              <w:rPr>
                <w:rFonts w:hint="default" w:cs="Times New Roman" w:asciiTheme="minorEastAsia" w:hAnsiTheme="minorEastAsia" w:eastAsiaTheme="minorEastAsia"/>
                <w:kern w:val="2"/>
                <w:sz w:val="20"/>
                <w:szCs w:val="20"/>
                <w:highlight w:val="none"/>
                <w:lang w:val="en-US" w:eastAsia="zh-CN" w:bidi="ar-SA"/>
              </w:rPr>
            </w:pPr>
            <w:r>
              <w:rPr>
                <w:rFonts w:hint="eastAsia" w:asciiTheme="minorEastAsia" w:hAnsiTheme="minorEastAsia" w:eastAsiaTheme="minorEastAsia"/>
                <w:b/>
                <w:bCs/>
                <w:color w:val="1F497D" w:themeColor="text2"/>
                <w:sz w:val="20"/>
                <w:szCs w:val="20"/>
                <w:highlight w:val="none"/>
                <w:lang w:val="en-US" w:eastAsia="zh-CN"/>
                <w14:textFill>
                  <w14:solidFill>
                    <w14:schemeClr w14:val="tx2"/>
                  </w14:solidFill>
                </w14:textFill>
              </w:rPr>
              <w:t>信息技术学院 汇总</w:t>
            </w:r>
          </w:p>
        </w:tc>
        <w:tc>
          <w:tcPr>
            <w:tcW w:w="1600" w:type="dxa"/>
            <w:shd w:val="clear" w:color="auto" w:fill="92CDDC" w:themeFill="accent5" w:themeFillTint="99"/>
            <w:vAlign w:val="top"/>
          </w:tcPr>
          <w:p>
            <w:pPr>
              <w:jc w:val="right"/>
              <w:rPr>
                <w:rFonts w:hint="default" w:cs="Times New Roman" w:asciiTheme="minorEastAsia" w:hAnsiTheme="minorEastAsia" w:eastAsiaTheme="minorEastAsia"/>
                <w:kern w:val="2"/>
                <w:sz w:val="20"/>
                <w:szCs w:val="20"/>
                <w:highlight w:val="none"/>
                <w:lang w:val="en-US" w:eastAsia="zh-CN" w:bidi="ar-SA"/>
              </w:rPr>
            </w:pPr>
            <w:r>
              <w:rPr>
                <w:rFonts w:hint="eastAsia" w:asciiTheme="minorEastAsia" w:hAnsiTheme="minorEastAsia" w:eastAsiaTheme="minorEastAsia"/>
                <w:b/>
                <w:bCs/>
                <w:color w:val="1F497D" w:themeColor="text2"/>
                <w:sz w:val="20"/>
                <w:szCs w:val="20"/>
                <w:highlight w:val="none"/>
                <w:lang w:val="en-US" w:eastAsia="zh-CN"/>
                <w14:textFill>
                  <w14:solidFill>
                    <w14:schemeClr w14:val="tx2"/>
                  </w14:solidFill>
                </w14:textFill>
              </w:rPr>
              <w:t>596</w:t>
            </w:r>
          </w:p>
        </w:tc>
        <w:tc>
          <w:tcPr>
            <w:tcW w:w="1525" w:type="dxa"/>
            <w:shd w:val="clear" w:color="auto" w:fill="92CDDC" w:themeFill="accent5" w:themeFillTint="99"/>
            <w:vAlign w:val="top"/>
          </w:tcPr>
          <w:p>
            <w:pPr>
              <w:jc w:val="right"/>
              <w:rPr>
                <w:rFonts w:hint="default" w:cs="Times New Roman" w:asciiTheme="minorEastAsia" w:hAnsiTheme="minorEastAsia" w:eastAsiaTheme="minorEastAsia"/>
                <w:kern w:val="2"/>
                <w:sz w:val="20"/>
                <w:szCs w:val="20"/>
                <w:highlight w:val="none"/>
                <w:lang w:val="en-US" w:eastAsia="zh-CN" w:bidi="ar-SA"/>
              </w:rPr>
            </w:pPr>
            <w:r>
              <w:rPr>
                <w:rFonts w:hint="eastAsia" w:asciiTheme="minorEastAsia" w:hAnsiTheme="minorEastAsia" w:eastAsiaTheme="minorEastAsia"/>
                <w:b/>
                <w:bCs/>
                <w:color w:val="1F497D" w:themeColor="text2"/>
                <w:sz w:val="20"/>
                <w:szCs w:val="20"/>
                <w:highlight w:val="none"/>
                <w:lang w:val="en-US" w:eastAsia="zh-CN"/>
                <w14:textFill>
                  <w14:solidFill>
                    <w14:schemeClr w14:val="tx2"/>
                  </w14:solidFill>
                </w14:textFill>
              </w:rPr>
              <w:t>14.82</w:t>
            </w:r>
          </w:p>
        </w:tc>
      </w:tr>
    </w:tbl>
    <w:p>
      <w:pPr>
        <w:pStyle w:val="6"/>
        <w:rPr>
          <w:lang w:val="ru-RU"/>
        </w:rPr>
      </w:pPr>
    </w:p>
    <w:p>
      <w:pPr>
        <w:numPr>
          <w:ilvl w:val="0"/>
          <w:numId w:val="0"/>
        </w:numPr>
        <w:ind w:firstLine="0"/>
        <w:jc w:val="left"/>
        <w:rPr>
          <w:rFonts w:hint="default"/>
          <w:sz w:val="28"/>
          <w:szCs w:val="28"/>
          <w:highlight w:val="none"/>
          <w:lang w:val="en-US" w:eastAsia="zh-CN"/>
        </w:rPr>
      </w:pPr>
      <w:r>
        <w:rPr>
          <w:rFonts w:hint="eastAsia"/>
          <w:sz w:val="28"/>
          <w:szCs w:val="28"/>
          <w:highlight w:val="none"/>
          <w:lang w:val="en-US" w:eastAsia="zh-CN"/>
        </w:rPr>
        <w:t>2.省份结构</w:t>
      </w:r>
    </w:p>
    <w:p>
      <w:pPr>
        <w:ind w:firstLine="560" w:firstLineChars="200"/>
        <w:jc w:val="left"/>
        <w:rPr>
          <w:rFonts w:hint="eastAsia" w:asciiTheme="minorEastAsia" w:hAnsiTheme="minorEastAsia" w:eastAsiaTheme="minorEastAsia"/>
          <w:sz w:val="20"/>
          <w:szCs w:val="20"/>
          <w:lang w:val="ru-RU"/>
        </w:rPr>
      </w:pPr>
      <w:r>
        <w:rPr>
          <w:rFonts w:hint="eastAsia"/>
          <w:sz w:val="28"/>
          <w:szCs w:val="28"/>
          <w:lang w:val="en-US" w:eastAsia="zh-CN"/>
        </w:rPr>
        <w:t>2023</w:t>
      </w:r>
      <w:r>
        <w:rPr>
          <w:rFonts w:hint="eastAsia"/>
          <w:sz w:val="28"/>
          <w:szCs w:val="28"/>
          <w:lang w:val="ru-RU"/>
        </w:rPr>
        <w:t>届毕业生生源主要来自湖南省</w:t>
      </w:r>
      <w:r>
        <w:rPr>
          <w:rFonts w:hint="eastAsia"/>
          <w:sz w:val="28"/>
          <w:szCs w:val="28"/>
          <w:lang w:val="en-US" w:eastAsia="zh-CN"/>
        </w:rPr>
        <w:t>3799</w:t>
      </w:r>
      <w:r>
        <w:rPr>
          <w:rFonts w:hint="eastAsia"/>
          <w:sz w:val="28"/>
          <w:szCs w:val="28"/>
          <w:lang w:val="ru-RU"/>
        </w:rPr>
        <w:t>人，占比为</w:t>
      </w:r>
      <w:r>
        <w:rPr>
          <w:rFonts w:hint="eastAsia"/>
          <w:sz w:val="28"/>
          <w:szCs w:val="28"/>
          <w:lang w:val="en-US" w:eastAsia="zh-CN"/>
        </w:rPr>
        <w:t>94.45</w:t>
      </w:r>
      <w:r>
        <w:rPr>
          <w:sz w:val="28"/>
          <w:szCs w:val="28"/>
          <w:lang w:val="ru-RU"/>
        </w:rPr>
        <w:t>%</w:t>
      </w:r>
      <w:r>
        <w:rPr>
          <w:rFonts w:hint="eastAsia"/>
          <w:sz w:val="28"/>
          <w:szCs w:val="28"/>
          <w:lang w:val="ru-RU"/>
        </w:rPr>
        <w:t>；其次是西藏自治区</w:t>
      </w:r>
      <w:r>
        <w:rPr>
          <w:rFonts w:hint="eastAsia"/>
          <w:sz w:val="28"/>
          <w:szCs w:val="28"/>
          <w:lang w:val="en-US" w:eastAsia="zh-CN"/>
        </w:rPr>
        <w:t>180</w:t>
      </w:r>
      <w:r>
        <w:rPr>
          <w:rFonts w:hint="eastAsia"/>
          <w:sz w:val="28"/>
          <w:szCs w:val="28"/>
          <w:lang w:val="ru-RU"/>
        </w:rPr>
        <w:t>人，占比为</w:t>
      </w:r>
      <w:r>
        <w:rPr>
          <w:rFonts w:hint="eastAsia"/>
          <w:sz w:val="28"/>
          <w:szCs w:val="28"/>
          <w:lang w:val="en-US" w:eastAsia="zh-CN"/>
        </w:rPr>
        <w:t>4.48</w:t>
      </w:r>
      <w:r>
        <w:rPr>
          <w:sz w:val="28"/>
          <w:szCs w:val="28"/>
          <w:lang w:val="ru-RU"/>
        </w:rPr>
        <w:t>%</w:t>
      </w:r>
      <w:r>
        <w:rPr>
          <w:rFonts w:hint="eastAsia"/>
          <w:sz w:val="28"/>
          <w:szCs w:val="28"/>
          <w:lang w:val="ru-RU"/>
        </w:rPr>
        <w:t>；第三是广东省</w:t>
      </w:r>
      <w:r>
        <w:rPr>
          <w:rFonts w:hint="eastAsia"/>
          <w:sz w:val="28"/>
          <w:szCs w:val="28"/>
          <w:lang w:val="en-US" w:eastAsia="zh-CN"/>
        </w:rPr>
        <w:t>19</w:t>
      </w:r>
      <w:r>
        <w:rPr>
          <w:rFonts w:hint="eastAsia"/>
          <w:sz w:val="28"/>
          <w:szCs w:val="28"/>
          <w:lang w:val="ru-RU"/>
        </w:rPr>
        <w:t>人，占比为</w:t>
      </w:r>
      <w:r>
        <w:rPr>
          <w:rFonts w:hint="eastAsia"/>
          <w:sz w:val="28"/>
          <w:szCs w:val="28"/>
          <w:lang w:val="en-US" w:eastAsia="zh-CN"/>
        </w:rPr>
        <w:t>0.47</w:t>
      </w:r>
      <w:r>
        <w:rPr>
          <w:sz w:val="28"/>
          <w:szCs w:val="28"/>
          <w:lang w:val="ru-RU"/>
        </w:rPr>
        <w:t>%</w:t>
      </w:r>
      <w:r>
        <w:rPr>
          <w:rFonts w:hint="eastAsia"/>
          <w:sz w:val="28"/>
          <w:szCs w:val="28"/>
          <w:lang w:val="ru-RU"/>
        </w:rPr>
        <w:t>。其余省份人数较少。</w:t>
      </w:r>
    </w:p>
    <w:p>
      <w:pPr>
        <w:jc w:val="center"/>
        <w:rPr>
          <w:rFonts w:asciiTheme="minorEastAsia" w:hAnsiTheme="minorEastAsia" w:eastAsiaTheme="minorEastAsia"/>
          <w:sz w:val="20"/>
          <w:szCs w:val="20"/>
          <w:lang w:val="ru-RU"/>
        </w:rPr>
      </w:pPr>
      <w:r>
        <w:rPr>
          <w:rFonts w:hint="eastAsia" w:asciiTheme="minorEastAsia" w:hAnsiTheme="minorEastAsia" w:eastAsiaTheme="minorEastAsia"/>
          <w:sz w:val="20"/>
          <w:szCs w:val="20"/>
          <w:lang w:val="ru-RU"/>
        </w:rPr>
        <w:t>表</w:t>
      </w:r>
      <w:r>
        <w:rPr>
          <w:rFonts w:asciiTheme="minorEastAsia" w:hAnsiTheme="minorEastAsia" w:eastAsiaTheme="minorEastAsia"/>
          <w:sz w:val="20"/>
          <w:szCs w:val="20"/>
          <w:lang w:val="ru-RU"/>
        </w:rPr>
        <w:t xml:space="preserve"> 1-2 </w:t>
      </w:r>
      <w:r>
        <w:rPr>
          <w:rFonts w:hint="eastAsia" w:asciiTheme="minorEastAsia" w:hAnsiTheme="minorEastAsia" w:eastAsiaTheme="minorEastAsia"/>
          <w:sz w:val="20"/>
          <w:szCs w:val="20"/>
          <w:lang w:val="en-US" w:eastAsia="zh-CN"/>
        </w:rPr>
        <w:t>2023</w:t>
      </w:r>
      <w:r>
        <w:rPr>
          <w:rFonts w:hint="eastAsia" w:asciiTheme="minorEastAsia" w:hAnsiTheme="minorEastAsia" w:eastAsiaTheme="minorEastAsia"/>
          <w:sz w:val="20"/>
          <w:szCs w:val="20"/>
          <w:lang w:val="ru-RU"/>
        </w:rPr>
        <w:t>届毕业生生源地结构</w:t>
      </w:r>
    </w:p>
    <w:p>
      <w:pPr>
        <w:jc w:val="right"/>
        <w:rPr>
          <w:rFonts w:hint="eastAsia" w:asciiTheme="minorEastAsia" w:hAnsiTheme="minorEastAsia" w:eastAsiaTheme="minorEastAsia"/>
          <w:sz w:val="20"/>
          <w:szCs w:val="20"/>
          <w:lang w:val="ru-RU"/>
        </w:rPr>
      </w:pPr>
      <w:r>
        <w:rPr>
          <w:rFonts w:hint="eastAsia" w:asciiTheme="minorEastAsia" w:hAnsiTheme="minorEastAsia" w:eastAsiaTheme="minorEastAsia"/>
          <w:sz w:val="20"/>
          <w:szCs w:val="20"/>
          <w:lang w:val="ru-RU"/>
        </w:rPr>
        <w:t>单位：人数（人）、比例（%）</w:t>
      </w:r>
    </w:p>
    <w:tbl>
      <w:tblPr>
        <w:tblStyle w:val="19"/>
        <w:tblW w:w="8517" w:type="dxa"/>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fixed"/>
        <w:tblCellMar>
          <w:top w:w="0" w:type="dxa"/>
          <w:left w:w="108" w:type="dxa"/>
          <w:bottom w:w="0" w:type="dxa"/>
          <w:right w:w="108" w:type="dxa"/>
        </w:tblCellMar>
      </w:tblPr>
      <w:tblGrid>
        <w:gridCol w:w="2343"/>
        <w:gridCol w:w="3474"/>
        <w:gridCol w:w="2700"/>
      </w:tblGrid>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43" w:type="dxa"/>
            <w:tcBorders>
              <w:top w:val="single" w:color="FFFFFF" w:themeColor="background1" w:sz="8" w:space="0"/>
              <w:bottom w:val="single" w:color="FFFFFF" w:themeColor="background1" w:sz="24" w:space="0"/>
              <w:right w:val="single" w:color="FFFFFF" w:themeColor="background1" w:sz="8" w:space="0"/>
              <w:insideH w:val="single" w:sz="24" w:space="0"/>
              <w:insideV w:val="single" w:sz="8" w:space="0"/>
            </w:tcBorders>
            <w:shd w:val="clear" w:color="auto" w:fill="4BACC6" w:themeFill="accent5"/>
            <w:vAlign w:val="top"/>
          </w:tcPr>
          <w:p>
            <w:pPr>
              <w:spacing w:before="0" w:after="0" w:line="240" w:lineRule="auto"/>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r>
              <w:rPr>
                <w:rFonts w:hint="eastAsia" w:asciiTheme="minorEastAsia" w:hAnsiTheme="minorEastAsia" w:eastAsiaTheme="minorEastAsia" w:cstheme="majorBidi"/>
                <w:b w:val="0"/>
                <w:bCs/>
                <w:sz w:val="20"/>
                <w:szCs w:val="20"/>
                <w:lang w:val="ru-RU"/>
              </w:rPr>
              <w:t>生源地</w:t>
            </w:r>
          </w:p>
        </w:tc>
        <w:tc>
          <w:tcPr>
            <w:tcW w:w="3474" w:type="dxa"/>
            <w:tcBorders>
              <w:top w:val="single" w:color="FFFFFF" w:themeColor="background1" w:sz="8" w:space="0"/>
              <w:bottom w:val="single" w:color="FFFFFF" w:themeColor="background1" w:sz="24" w:space="0"/>
              <w:right w:val="single" w:color="FFFFFF" w:themeColor="background1" w:sz="8" w:space="0"/>
              <w:insideH w:val="single" w:sz="24" w:space="0"/>
              <w:insideV w:val="single" w:sz="8" w:space="0"/>
            </w:tcBorders>
            <w:shd w:val="clear" w:color="auto" w:fill="4BACC6" w:themeFill="accent5"/>
            <w:vAlign w:val="top"/>
          </w:tcPr>
          <w:p>
            <w:pPr>
              <w:spacing w:before="0" w:after="0" w:line="240" w:lineRule="auto"/>
              <w:jc w:val="center"/>
              <w:rPr>
                <w:rFonts w:hint="default" w:asciiTheme="minorEastAsia" w:hAnsiTheme="minorEastAsia" w:eastAsiaTheme="minorEastAsia"/>
                <w:b/>
                <w:bCs/>
                <w:i w:val="0"/>
                <w:iCs w:val="0"/>
                <w:color w:val="FFFFFF" w:themeColor="background1"/>
                <w:sz w:val="20"/>
                <w:szCs w:val="20"/>
                <w:lang w:val="en-US" w:eastAsia="zh-CN"/>
                <w14:textFill>
                  <w14:solidFill>
                    <w14:schemeClr w14:val="bg1"/>
                  </w14:solidFill>
                </w14:textFill>
              </w:rPr>
            </w:pPr>
            <w:r>
              <w:rPr>
                <w:rFonts w:hint="eastAsia" w:asciiTheme="minorEastAsia" w:hAnsiTheme="minorEastAsia" w:eastAsiaTheme="minorEastAsia" w:cstheme="majorBidi"/>
                <w:b w:val="0"/>
                <w:bCs/>
                <w:sz w:val="20"/>
                <w:szCs w:val="20"/>
                <w:lang w:val="ru-RU"/>
              </w:rPr>
              <w:t>毕业生人数</w:t>
            </w:r>
          </w:p>
        </w:tc>
        <w:tc>
          <w:tcPr>
            <w:tcW w:w="2700" w:type="dxa"/>
            <w:tcBorders>
              <w:top w:val="single" w:color="FFFFFF" w:themeColor="background1" w:sz="8" w:space="0"/>
              <w:bottom w:val="single" w:color="FFFFFF" w:themeColor="background1" w:sz="24" w:space="0"/>
              <w:right w:val="single" w:color="FFFFFF" w:themeColor="background1" w:sz="8" w:space="0"/>
              <w:insideH w:val="single" w:sz="24" w:space="0"/>
              <w:insideV w:val="single" w:sz="8" w:space="0"/>
            </w:tcBorders>
            <w:shd w:val="clear" w:color="auto" w:fill="4BACC6" w:themeFill="accent5"/>
            <w:vAlign w:val="top"/>
          </w:tcPr>
          <w:p>
            <w:pPr>
              <w:spacing w:before="0" w:after="0" w:line="240" w:lineRule="auto"/>
              <w:jc w:val="center"/>
              <w:rPr>
                <w:rFonts w:hint="default" w:asciiTheme="minorEastAsia" w:hAnsiTheme="minorEastAsia" w:eastAsiaTheme="minorEastAsia"/>
                <w:b/>
                <w:bCs/>
                <w:i w:val="0"/>
                <w:iCs w:val="0"/>
                <w:color w:val="FFFFFF" w:themeColor="background1"/>
                <w:sz w:val="20"/>
                <w:szCs w:val="20"/>
                <w:lang w:val="en-US" w:eastAsia="zh-CN"/>
                <w14:textFill>
                  <w14:solidFill>
                    <w14:schemeClr w14:val="bg1"/>
                  </w14:solidFill>
                </w14:textFill>
              </w:rPr>
            </w:pPr>
            <w:r>
              <w:rPr>
                <w:rFonts w:hint="eastAsia" w:asciiTheme="minorEastAsia" w:hAnsiTheme="minorEastAsia" w:eastAsiaTheme="minorEastAsia" w:cstheme="majorBidi"/>
                <w:b w:val="0"/>
                <w:bCs/>
                <w:sz w:val="20"/>
                <w:szCs w:val="20"/>
                <w:lang w:val="ru-RU"/>
              </w:rPr>
              <w:t>比例</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43"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vAlign w:val="top"/>
          </w:tcPr>
          <w:p>
            <w:pPr>
              <w:keepNext w:val="0"/>
              <w:keepLines w:val="0"/>
              <w:widowControl/>
              <w:suppressLineNumbers w:val="0"/>
              <w:jc w:val="center"/>
              <w:textAlignment w:val="top"/>
              <w:rPr>
                <w:rFonts w:asciiTheme="minorEastAsia" w:hAnsiTheme="minorEastAsia" w:eastAsiaTheme="minorEastAsia"/>
                <w:sz w:val="20"/>
                <w:szCs w:val="20"/>
                <w:lang w:val="ru-RU"/>
              </w:rPr>
            </w:pPr>
            <w:r>
              <w:rPr>
                <w:rFonts w:hint="eastAsia" w:ascii="宋体" w:hAnsi="宋体" w:eastAsia="宋体" w:cs="宋体"/>
                <w:i w:val="0"/>
                <w:iCs w:val="0"/>
                <w:color w:val="000000"/>
                <w:kern w:val="0"/>
                <w:sz w:val="20"/>
                <w:szCs w:val="20"/>
                <w:u w:val="none"/>
                <w:lang w:val="en-US" w:eastAsia="zh-CN" w:bidi="ar"/>
              </w:rPr>
              <w:t>湖南省邵阳地区</w:t>
            </w:r>
          </w:p>
        </w:tc>
        <w:tc>
          <w:tcPr>
            <w:tcW w:w="3474"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vAlign w:val="top"/>
          </w:tcPr>
          <w:p>
            <w:pPr>
              <w:keepNext w:val="0"/>
              <w:keepLines w:val="0"/>
              <w:widowControl/>
              <w:suppressLineNumbers w:val="0"/>
              <w:jc w:val="center"/>
              <w:textAlignment w:val="top"/>
              <w:rPr>
                <w:rFonts w:hint="default" w:asciiTheme="minorEastAsia" w:hAnsiTheme="minorEastAsia" w:eastAsiaTheme="minorEastAsia"/>
                <w:sz w:val="20"/>
                <w:szCs w:val="20"/>
                <w:lang w:val="en-US"/>
              </w:rPr>
            </w:pPr>
            <w:r>
              <w:rPr>
                <w:rFonts w:hint="eastAsia" w:ascii="宋体" w:hAnsi="宋体" w:cs="宋体"/>
                <w:i w:val="0"/>
                <w:iCs w:val="0"/>
                <w:color w:val="000000"/>
                <w:kern w:val="0"/>
                <w:sz w:val="20"/>
                <w:szCs w:val="20"/>
                <w:u w:val="none"/>
                <w:lang w:val="en-US" w:eastAsia="zh-CN" w:bidi="ar"/>
              </w:rPr>
              <w:t>2678</w:t>
            </w:r>
          </w:p>
        </w:tc>
        <w:tc>
          <w:tcPr>
            <w:tcW w:w="270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p>
            <w:pPr>
              <w:jc w:val="center"/>
              <w:rPr>
                <w:rFonts w:hint="default"/>
                <w:lang w:val="en-US" w:eastAsia="zh-CN"/>
              </w:rPr>
            </w:pPr>
            <w:r>
              <w:rPr>
                <w:rFonts w:hint="eastAsia" w:ascii="宋体" w:hAnsi="宋体" w:eastAsia="宋体" w:cs="宋体"/>
                <w:sz w:val="20"/>
                <w:szCs w:val="20"/>
                <w:lang w:val="en-US" w:eastAsia="zh-CN"/>
              </w:rPr>
              <w:t>6</w:t>
            </w:r>
            <w:r>
              <w:rPr>
                <w:rFonts w:hint="eastAsia" w:ascii="宋体" w:hAnsi="宋体" w:cs="宋体"/>
                <w:sz w:val="20"/>
                <w:szCs w:val="20"/>
                <w:lang w:val="en-US" w:eastAsia="zh-CN"/>
              </w:rPr>
              <w:t>6.58</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43" w:type="dxa"/>
            <w:shd w:val="clear" w:color="auto" w:fill="D2EAF0" w:themeFill="accent5" w:themeFillTint="3F"/>
            <w:vAlign w:val="top"/>
          </w:tcPr>
          <w:p>
            <w:pPr>
              <w:keepNext w:val="0"/>
              <w:keepLines w:val="0"/>
              <w:widowControl/>
              <w:suppressLineNumbers w:val="0"/>
              <w:jc w:val="center"/>
              <w:textAlignment w:val="top"/>
              <w:rPr>
                <w:rFonts w:asciiTheme="minorEastAsia" w:hAnsiTheme="minorEastAsia" w:eastAsiaTheme="minorEastAsia"/>
                <w:sz w:val="20"/>
                <w:szCs w:val="20"/>
                <w:lang w:val="ru-RU"/>
              </w:rPr>
            </w:pPr>
            <w:r>
              <w:rPr>
                <w:rFonts w:hint="eastAsia" w:ascii="宋体" w:hAnsi="宋体" w:eastAsia="宋体" w:cs="宋体"/>
                <w:i w:val="0"/>
                <w:iCs w:val="0"/>
                <w:color w:val="000000"/>
                <w:kern w:val="0"/>
                <w:sz w:val="20"/>
                <w:szCs w:val="20"/>
                <w:u w:val="none"/>
                <w:lang w:val="en-US" w:eastAsia="zh-CN" w:bidi="ar"/>
              </w:rPr>
              <w:t>湖南省其它地区</w:t>
            </w:r>
          </w:p>
        </w:tc>
        <w:tc>
          <w:tcPr>
            <w:tcW w:w="3474" w:type="dxa"/>
            <w:shd w:val="clear" w:color="auto" w:fill="D2EAF0" w:themeFill="accent5" w:themeFillTint="3F"/>
            <w:vAlign w:val="top"/>
          </w:tcPr>
          <w:p>
            <w:pPr>
              <w:keepNext w:val="0"/>
              <w:keepLines w:val="0"/>
              <w:widowControl/>
              <w:suppressLineNumbers w:val="0"/>
              <w:jc w:val="center"/>
              <w:textAlignment w:val="top"/>
              <w:rPr>
                <w:rFonts w:hint="default" w:asciiTheme="minorEastAsia" w:hAnsiTheme="minorEastAsia" w:eastAsiaTheme="minorEastAsia"/>
                <w:sz w:val="20"/>
                <w:szCs w:val="20"/>
                <w:lang w:val="en-US"/>
              </w:rPr>
            </w:pPr>
            <w:r>
              <w:rPr>
                <w:rFonts w:hint="eastAsia" w:ascii="宋体" w:hAnsi="宋体" w:cs="宋体"/>
                <w:i w:val="0"/>
                <w:iCs w:val="0"/>
                <w:color w:val="000000"/>
                <w:kern w:val="0"/>
                <w:sz w:val="20"/>
                <w:szCs w:val="20"/>
                <w:u w:val="none"/>
                <w:lang w:val="en-US" w:eastAsia="zh-CN" w:bidi="ar"/>
              </w:rPr>
              <w:t>1121</w:t>
            </w:r>
          </w:p>
        </w:tc>
        <w:tc>
          <w:tcPr>
            <w:tcW w:w="2700" w:type="dxa"/>
            <w:shd w:val="clear" w:color="auto" w:fill="D2EAF0" w:themeFill="accent5" w:themeFillTint="3F"/>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27.87</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43"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vAlign w:val="top"/>
          </w:tcPr>
          <w:p>
            <w:pPr>
              <w:keepNext w:val="0"/>
              <w:keepLines w:val="0"/>
              <w:widowControl/>
              <w:suppressLineNumbers w:val="0"/>
              <w:jc w:val="center"/>
              <w:textAlignment w:val="top"/>
              <w:rPr>
                <w:rFonts w:asciiTheme="minorEastAsia" w:hAnsiTheme="minorEastAsia" w:eastAsiaTheme="minorEastAsia"/>
                <w:sz w:val="20"/>
                <w:szCs w:val="20"/>
                <w:lang w:val="ru-RU"/>
              </w:rPr>
            </w:pPr>
            <w:r>
              <w:rPr>
                <w:rFonts w:hint="eastAsia" w:ascii="宋体" w:hAnsi="宋体" w:eastAsia="宋体" w:cs="宋体"/>
                <w:i w:val="0"/>
                <w:iCs w:val="0"/>
                <w:color w:val="000000"/>
                <w:kern w:val="0"/>
                <w:sz w:val="20"/>
                <w:szCs w:val="20"/>
                <w:u w:val="none"/>
                <w:lang w:val="en-US" w:eastAsia="zh-CN" w:bidi="ar"/>
              </w:rPr>
              <w:t>西藏自治区</w:t>
            </w:r>
          </w:p>
        </w:tc>
        <w:tc>
          <w:tcPr>
            <w:tcW w:w="3474"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vAlign w:val="top"/>
          </w:tcPr>
          <w:p>
            <w:pPr>
              <w:keepNext w:val="0"/>
              <w:keepLines w:val="0"/>
              <w:widowControl/>
              <w:suppressLineNumbers w:val="0"/>
              <w:jc w:val="center"/>
              <w:textAlignment w:val="top"/>
              <w:rPr>
                <w:rFonts w:hint="default" w:asciiTheme="minorEastAsia" w:hAnsiTheme="minorEastAsia" w:eastAsiaTheme="minorEastAsia"/>
                <w:sz w:val="20"/>
                <w:szCs w:val="20"/>
                <w:lang w:val="en-US"/>
              </w:rPr>
            </w:pPr>
            <w:r>
              <w:rPr>
                <w:rFonts w:hint="eastAsia" w:ascii="宋体" w:hAnsi="宋体" w:cs="宋体"/>
                <w:i w:val="0"/>
                <w:iCs w:val="0"/>
                <w:color w:val="000000"/>
                <w:kern w:val="0"/>
                <w:sz w:val="20"/>
                <w:szCs w:val="20"/>
                <w:u w:val="none"/>
                <w:lang w:val="en-US" w:eastAsia="zh-CN" w:bidi="ar"/>
              </w:rPr>
              <w:t>180</w:t>
            </w:r>
          </w:p>
        </w:tc>
        <w:tc>
          <w:tcPr>
            <w:tcW w:w="270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4.48</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43" w:type="dxa"/>
            <w:shd w:val="clear" w:color="auto" w:fill="D2EAF0" w:themeFill="accent5" w:themeFillTint="3F"/>
            <w:vAlign w:val="top"/>
          </w:tcPr>
          <w:p>
            <w:pPr>
              <w:keepNext w:val="0"/>
              <w:keepLines w:val="0"/>
              <w:widowControl/>
              <w:suppressLineNumbers w:val="0"/>
              <w:jc w:val="center"/>
              <w:textAlignment w:val="top"/>
              <w:rPr>
                <w:rFonts w:asciiTheme="minorEastAsia" w:hAnsiTheme="minorEastAsia" w:eastAsiaTheme="minorEastAsia"/>
                <w:sz w:val="20"/>
                <w:szCs w:val="20"/>
                <w:lang w:val="ru-RU"/>
              </w:rPr>
            </w:pPr>
            <w:r>
              <w:rPr>
                <w:rFonts w:hint="eastAsia" w:ascii="宋体" w:hAnsi="宋体" w:eastAsia="宋体" w:cs="宋体"/>
                <w:i w:val="0"/>
                <w:iCs w:val="0"/>
                <w:color w:val="000000"/>
                <w:kern w:val="0"/>
                <w:sz w:val="20"/>
                <w:szCs w:val="20"/>
                <w:u w:val="none"/>
                <w:lang w:val="en-US" w:eastAsia="zh-CN" w:bidi="ar"/>
              </w:rPr>
              <w:t>广东省</w:t>
            </w:r>
          </w:p>
        </w:tc>
        <w:tc>
          <w:tcPr>
            <w:tcW w:w="3474" w:type="dxa"/>
            <w:shd w:val="clear" w:color="auto" w:fill="D2EAF0" w:themeFill="accent5" w:themeFillTint="3F"/>
            <w:vAlign w:val="top"/>
          </w:tcPr>
          <w:p>
            <w:pPr>
              <w:keepNext w:val="0"/>
              <w:keepLines w:val="0"/>
              <w:widowControl/>
              <w:suppressLineNumbers w:val="0"/>
              <w:jc w:val="center"/>
              <w:textAlignment w:val="top"/>
              <w:rPr>
                <w:rFonts w:hint="default" w:asciiTheme="minorEastAsia" w:hAnsiTheme="minorEastAsia" w:eastAsiaTheme="minorEastAsia"/>
                <w:sz w:val="20"/>
                <w:szCs w:val="20"/>
                <w:lang w:val="en-US"/>
              </w:rPr>
            </w:pPr>
            <w:r>
              <w:rPr>
                <w:rFonts w:hint="eastAsia" w:ascii="宋体" w:hAnsi="宋体" w:cs="宋体"/>
                <w:i w:val="0"/>
                <w:iCs w:val="0"/>
                <w:color w:val="000000"/>
                <w:kern w:val="0"/>
                <w:sz w:val="20"/>
                <w:szCs w:val="20"/>
                <w:u w:val="none"/>
                <w:lang w:val="en-US" w:eastAsia="zh-CN" w:bidi="ar"/>
              </w:rPr>
              <w:t>19</w:t>
            </w:r>
          </w:p>
        </w:tc>
        <w:tc>
          <w:tcPr>
            <w:tcW w:w="2700" w:type="dxa"/>
            <w:shd w:val="clear" w:color="auto" w:fill="D2EAF0" w:themeFill="accent5" w:themeFillTint="3F"/>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0.47</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43"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vAlign w:val="top"/>
          </w:tcPr>
          <w:p>
            <w:pPr>
              <w:keepNext w:val="0"/>
              <w:keepLines w:val="0"/>
              <w:widowControl/>
              <w:suppressLineNumbers w:val="0"/>
              <w:jc w:val="center"/>
              <w:textAlignment w:val="top"/>
              <w:rPr>
                <w:rFonts w:hint="default" w:asciiTheme="minorEastAsia" w:hAnsiTheme="minorEastAsia" w:eastAsiaTheme="minorEastAsia"/>
                <w:sz w:val="20"/>
                <w:szCs w:val="20"/>
                <w:lang w:val="en-US"/>
              </w:rPr>
            </w:pPr>
            <w:r>
              <w:rPr>
                <w:rFonts w:hint="eastAsia" w:ascii="宋体" w:hAnsi="宋体" w:cs="宋体"/>
                <w:i w:val="0"/>
                <w:iCs w:val="0"/>
                <w:color w:val="000000"/>
                <w:kern w:val="0"/>
                <w:sz w:val="20"/>
                <w:szCs w:val="20"/>
                <w:u w:val="none"/>
                <w:lang w:val="en-US" w:eastAsia="zh-CN" w:bidi="ar"/>
              </w:rPr>
              <w:t>贵州</w:t>
            </w:r>
            <w:r>
              <w:rPr>
                <w:rFonts w:hint="eastAsia" w:ascii="宋体" w:hAnsi="宋体" w:eastAsia="宋体" w:cs="宋体"/>
                <w:i w:val="0"/>
                <w:iCs w:val="0"/>
                <w:color w:val="000000"/>
                <w:kern w:val="0"/>
                <w:sz w:val="20"/>
                <w:szCs w:val="20"/>
                <w:u w:val="none"/>
                <w:lang w:val="en-US" w:eastAsia="zh-CN" w:bidi="ar"/>
              </w:rPr>
              <w:t>省</w:t>
            </w:r>
          </w:p>
        </w:tc>
        <w:tc>
          <w:tcPr>
            <w:tcW w:w="3474"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vAlign w:val="top"/>
          </w:tcPr>
          <w:p>
            <w:pPr>
              <w:keepNext w:val="0"/>
              <w:keepLines w:val="0"/>
              <w:widowControl/>
              <w:suppressLineNumbers w:val="0"/>
              <w:jc w:val="center"/>
              <w:textAlignment w:val="top"/>
              <w:rPr>
                <w:rFonts w:hint="default" w:asciiTheme="minorEastAsia" w:hAnsiTheme="minorEastAsia" w:eastAsiaTheme="minorEastAsia"/>
                <w:sz w:val="20"/>
                <w:szCs w:val="20"/>
                <w:lang w:val="en-US"/>
              </w:rPr>
            </w:pPr>
            <w:r>
              <w:rPr>
                <w:rFonts w:hint="eastAsia" w:ascii="宋体" w:hAnsi="宋体" w:cs="宋体"/>
                <w:i w:val="0"/>
                <w:iCs w:val="0"/>
                <w:color w:val="000000"/>
                <w:kern w:val="0"/>
                <w:sz w:val="20"/>
                <w:szCs w:val="20"/>
                <w:u w:val="none"/>
                <w:lang w:val="en-US" w:eastAsia="zh-CN" w:bidi="ar"/>
              </w:rPr>
              <w:t>16</w:t>
            </w:r>
          </w:p>
        </w:tc>
        <w:tc>
          <w:tcPr>
            <w:tcW w:w="270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0.40</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43" w:type="dxa"/>
            <w:shd w:val="clear" w:color="auto" w:fill="D2EAF0" w:themeFill="accent5" w:themeFillTint="3F"/>
            <w:vAlign w:val="top"/>
          </w:tcPr>
          <w:p>
            <w:pPr>
              <w:keepNext w:val="0"/>
              <w:keepLines w:val="0"/>
              <w:widowControl/>
              <w:suppressLineNumbers w:val="0"/>
              <w:jc w:val="center"/>
              <w:textAlignment w:val="top"/>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湖北省</w:t>
            </w:r>
          </w:p>
        </w:tc>
        <w:tc>
          <w:tcPr>
            <w:tcW w:w="3474" w:type="dxa"/>
            <w:shd w:val="clear" w:color="auto" w:fill="D2EAF0" w:themeFill="accent5" w:themeFillTint="3F"/>
            <w:vAlign w:val="top"/>
          </w:tcPr>
          <w:p>
            <w:pPr>
              <w:keepNext w:val="0"/>
              <w:keepLines w:val="0"/>
              <w:widowControl/>
              <w:suppressLineNumbers w:val="0"/>
              <w:jc w:val="center"/>
              <w:textAlignment w:val="top"/>
              <w:rPr>
                <w:rFonts w:asciiTheme="minorEastAsia" w:hAnsiTheme="minorEastAsia" w:eastAsiaTheme="minorEastAsia"/>
                <w:sz w:val="20"/>
                <w:szCs w:val="20"/>
                <w:lang w:val="ru-RU"/>
              </w:rPr>
            </w:pPr>
            <w:r>
              <w:rPr>
                <w:rFonts w:hint="eastAsia" w:ascii="宋体" w:hAnsi="宋体" w:cs="宋体"/>
                <w:i w:val="0"/>
                <w:iCs w:val="0"/>
                <w:color w:val="000000"/>
                <w:kern w:val="0"/>
                <w:sz w:val="20"/>
                <w:szCs w:val="20"/>
                <w:u w:val="none"/>
                <w:lang w:val="en-US" w:eastAsia="zh-CN" w:bidi="ar"/>
              </w:rPr>
              <w:t>2</w:t>
            </w:r>
          </w:p>
        </w:tc>
        <w:tc>
          <w:tcPr>
            <w:tcW w:w="2700" w:type="dxa"/>
            <w:shd w:val="clear" w:color="auto" w:fill="D2EAF0" w:themeFill="accent5" w:themeFillTint="3F"/>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0.05</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43"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vAlign w:val="top"/>
          </w:tcPr>
          <w:p>
            <w:pPr>
              <w:keepNext w:val="0"/>
              <w:keepLines w:val="0"/>
              <w:widowControl/>
              <w:suppressLineNumbers w:val="0"/>
              <w:jc w:val="center"/>
              <w:textAlignment w:val="top"/>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四川省</w:t>
            </w:r>
          </w:p>
        </w:tc>
        <w:tc>
          <w:tcPr>
            <w:tcW w:w="3474"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vAlign w:val="top"/>
          </w:tcPr>
          <w:p>
            <w:pPr>
              <w:keepNext w:val="0"/>
              <w:keepLines w:val="0"/>
              <w:widowControl/>
              <w:suppressLineNumbers w:val="0"/>
              <w:jc w:val="center"/>
              <w:textAlignment w:val="top"/>
              <w:rPr>
                <w:rFonts w:asciiTheme="minorEastAsia" w:hAnsiTheme="minorEastAsia" w:eastAsiaTheme="minorEastAsia"/>
                <w:sz w:val="20"/>
                <w:szCs w:val="20"/>
                <w:lang w:val="ru-RU"/>
              </w:rPr>
            </w:pPr>
            <w:r>
              <w:rPr>
                <w:rFonts w:hint="eastAsia" w:ascii="宋体" w:hAnsi="宋体" w:cs="宋体"/>
                <w:i w:val="0"/>
                <w:iCs w:val="0"/>
                <w:color w:val="000000"/>
                <w:kern w:val="0"/>
                <w:sz w:val="20"/>
                <w:szCs w:val="20"/>
                <w:u w:val="none"/>
                <w:lang w:val="en-US" w:eastAsia="zh-CN" w:bidi="ar"/>
              </w:rPr>
              <w:t>2</w:t>
            </w:r>
          </w:p>
        </w:tc>
        <w:tc>
          <w:tcPr>
            <w:tcW w:w="270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0.05</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43" w:type="dxa"/>
            <w:shd w:val="clear" w:color="auto" w:fill="D2EAF0" w:themeFill="accent5" w:themeFillTint="3F"/>
            <w:vAlign w:val="top"/>
          </w:tcPr>
          <w:p>
            <w:pPr>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广西壮族</w:t>
            </w:r>
            <w:r>
              <w:rPr>
                <w:rFonts w:hint="eastAsia" w:ascii="宋体" w:hAnsi="宋体" w:eastAsia="宋体" w:cs="宋体"/>
                <w:i w:val="0"/>
                <w:iCs w:val="0"/>
                <w:color w:val="000000"/>
                <w:kern w:val="0"/>
                <w:sz w:val="20"/>
                <w:szCs w:val="20"/>
                <w:u w:val="none"/>
                <w:lang w:val="en-US" w:eastAsia="zh-CN" w:bidi="ar"/>
              </w:rPr>
              <w:t>自治区</w:t>
            </w:r>
          </w:p>
        </w:tc>
        <w:tc>
          <w:tcPr>
            <w:tcW w:w="3474" w:type="dxa"/>
            <w:shd w:val="clear" w:color="auto" w:fill="D2EAF0" w:themeFill="accent5" w:themeFillTint="3F"/>
            <w:vAlign w:val="top"/>
          </w:tcPr>
          <w:p>
            <w:pPr>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2</w:t>
            </w:r>
          </w:p>
        </w:tc>
        <w:tc>
          <w:tcPr>
            <w:tcW w:w="2700" w:type="dxa"/>
            <w:shd w:val="clear" w:color="auto" w:fill="D2EAF0" w:themeFill="accent5" w:themeFillTint="3F"/>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0.05</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43"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vAlign w:val="top"/>
          </w:tcPr>
          <w:p>
            <w:pPr>
              <w:keepNext w:val="0"/>
              <w:keepLines w:val="0"/>
              <w:widowControl/>
              <w:suppressLineNumbers w:val="0"/>
              <w:jc w:val="center"/>
              <w:textAlignment w:val="top"/>
              <w:rPr>
                <w:rFonts w:hint="default" w:asciiTheme="minorEastAsia" w:hAnsiTheme="minorEastAsia" w:eastAsiaTheme="minorEastAsia"/>
                <w:sz w:val="20"/>
                <w:szCs w:val="20"/>
                <w:lang w:val="en-US"/>
              </w:rPr>
            </w:pPr>
            <w:r>
              <w:rPr>
                <w:rFonts w:hint="eastAsia" w:ascii="宋体" w:hAnsi="宋体" w:cs="宋体"/>
                <w:i w:val="0"/>
                <w:iCs w:val="0"/>
                <w:color w:val="000000"/>
                <w:kern w:val="0"/>
                <w:sz w:val="20"/>
                <w:szCs w:val="20"/>
                <w:u w:val="none"/>
                <w:lang w:val="en-US" w:eastAsia="zh-CN" w:bidi="ar"/>
              </w:rPr>
              <w:t>福建</w:t>
            </w:r>
            <w:r>
              <w:rPr>
                <w:rFonts w:hint="eastAsia" w:ascii="宋体" w:hAnsi="宋体" w:eastAsia="宋体" w:cs="宋体"/>
                <w:i w:val="0"/>
                <w:iCs w:val="0"/>
                <w:color w:val="000000"/>
                <w:kern w:val="0"/>
                <w:sz w:val="20"/>
                <w:szCs w:val="20"/>
                <w:u w:val="none"/>
                <w:lang w:val="en-US" w:eastAsia="zh-CN" w:bidi="ar"/>
              </w:rPr>
              <w:t>省</w:t>
            </w:r>
          </w:p>
        </w:tc>
        <w:tc>
          <w:tcPr>
            <w:tcW w:w="3474"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vAlign w:val="top"/>
          </w:tcPr>
          <w:p>
            <w:pPr>
              <w:keepNext w:val="0"/>
              <w:keepLines w:val="0"/>
              <w:widowControl/>
              <w:suppressLineNumbers w:val="0"/>
              <w:jc w:val="center"/>
              <w:textAlignment w:val="top"/>
              <w:rPr>
                <w:rFonts w:hint="default" w:asciiTheme="minorEastAsia" w:hAnsiTheme="minorEastAsia" w:eastAsiaTheme="minorEastAsia"/>
                <w:sz w:val="20"/>
                <w:szCs w:val="20"/>
                <w:lang w:val="en-US"/>
              </w:rPr>
            </w:pPr>
            <w:r>
              <w:rPr>
                <w:rFonts w:hint="eastAsia" w:ascii="宋体" w:hAnsi="宋体" w:cs="宋体"/>
                <w:i w:val="0"/>
                <w:iCs w:val="0"/>
                <w:color w:val="000000"/>
                <w:kern w:val="0"/>
                <w:sz w:val="20"/>
                <w:szCs w:val="20"/>
                <w:u w:val="none"/>
                <w:lang w:val="en-US" w:eastAsia="zh-CN" w:bidi="ar"/>
              </w:rPr>
              <w:t>1</w:t>
            </w:r>
          </w:p>
        </w:tc>
        <w:tc>
          <w:tcPr>
            <w:tcW w:w="270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0.025</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43" w:type="dxa"/>
            <w:shd w:val="clear" w:color="auto" w:fill="D2EAF0" w:themeFill="accent5" w:themeFillTint="3F"/>
            <w:vAlign w:val="top"/>
          </w:tcPr>
          <w:p>
            <w:pPr>
              <w:keepNext w:val="0"/>
              <w:keepLines w:val="0"/>
              <w:widowControl/>
              <w:suppressLineNumbers w:val="0"/>
              <w:jc w:val="center"/>
              <w:textAlignment w:val="top"/>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云南省</w:t>
            </w:r>
          </w:p>
        </w:tc>
        <w:tc>
          <w:tcPr>
            <w:tcW w:w="3474" w:type="dxa"/>
            <w:shd w:val="clear" w:color="auto" w:fill="D2EAF0" w:themeFill="accent5" w:themeFillTint="3F"/>
            <w:vAlign w:val="top"/>
          </w:tcPr>
          <w:p>
            <w:pPr>
              <w:keepNext w:val="0"/>
              <w:keepLines w:val="0"/>
              <w:widowControl/>
              <w:suppressLineNumbers w:val="0"/>
              <w:jc w:val="center"/>
              <w:textAlignment w:val="top"/>
              <w:rPr>
                <w:rFonts w:asciiTheme="minorEastAsia" w:hAnsiTheme="minorEastAsia" w:eastAsiaTheme="minorEastAsia"/>
                <w:sz w:val="20"/>
                <w:szCs w:val="20"/>
                <w:lang w:val="ru-RU"/>
              </w:rPr>
            </w:pPr>
            <w:r>
              <w:rPr>
                <w:rFonts w:hint="eastAsia" w:ascii="宋体" w:hAnsi="宋体" w:cs="宋体"/>
                <w:i w:val="0"/>
                <w:iCs w:val="0"/>
                <w:color w:val="000000"/>
                <w:kern w:val="0"/>
                <w:sz w:val="20"/>
                <w:szCs w:val="20"/>
                <w:u w:val="none"/>
                <w:lang w:val="en-US" w:eastAsia="zh-CN" w:bidi="ar"/>
              </w:rPr>
              <w:t>1</w:t>
            </w:r>
          </w:p>
        </w:tc>
        <w:tc>
          <w:tcPr>
            <w:tcW w:w="2700" w:type="dxa"/>
            <w:shd w:val="clear" w:color="auto" w:fill="D2EAF0" w:themeFill="accent5" w:themeFillTint="3F"/>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0.025</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43"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vAlign w:val="top"/>
          </w:tcPr>
          <w:p>
            <w:pPr>
              <w:jc w:val="center"/>
              <w:rPr>
                <w:rFonts w:hint="default" w:asciiTheme="minorEastAsia" w:hAnsiTheme="minorEastAsia" w:eastAsiaTheme="minorEastAsia"/>
                <w:sz w:val="20"/>
                <w:szCs w:val="20"/>
                <w:lang w:val="en-US"/>
              </w:rPr>
            </w:pPr>
            <w:r>
              <w:rPr>
                <w:rFonts w:hint="eastAsia" w:asciiTheme="minorEastAsia" w:hAnsiTheme="minorEastAsia" w:eastAsiaTheme="minorEastAsia" w:cstheme="majorBidi"/>
                <w:b/>
                <w:bCs/>
                <w:sz w:val="20"/>
                <w:szCs w:val="20"/>
                <w:lang w:val="ru-RU"/>
              </w:rPr>
              <w:t>总计</w:t>
            </w:r>
          </w:p>
        </w:tc>
        <w:tc>
          <w:tcPr>
            <w:tcW w:w="3474"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vAlign w:val="top"/>
          </w:tcPr>
          <w:p>
            <w:pPr>
              <w:jc w:val="center"/>
              <w:rPr>
                <w:rFonts w:hint="default" w:asciiTheme="minorEastAsia" w:hAnsiTheme="minorEastAsia" w:eastAsiaTheme="minorEastAsia"/>
                <w:sz w:val="20"/>
                <w:szCs w:val="20"/>
                <w:lang w:val="en-US"/>
              </w:rPr>
            </w:pPr>
            <w:r>
              <w:rPr>
                <w:rFonts w:hint="eastAsia" w:asciiTheme="minorEastAsia" w:hAnsiTheme="minorEastAsia" w:eastAsiaTheme="minorEastAsia"/>
                <w:b/>
                <w:bCs/>
                <w:sz w:val="20"/>
                <w:szCs w:val="20"/>
                <w:lang w:val="en-US" w:eastAsia="zh-CN"/>
              </w:rPr>
              <w:t>4022</w:t>
            </w:r>
          </w:p>
        </w:tc>
        <w:tc>
          <w:tcPr>
            <w:tcW w:w="270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b/>
                <w:bCs/>
                <w:sz w:val="20"/>
                <w:szCs w:val="20"/>
                <w:lang w:val="ru-RU"/>
              </w:rPr>
              <w:t>100.00</w:t>
            </w:r>
          </w:p>
        </w:tc>
      </w:tr>
    </w:tbl>
    <w:p>
      <w:pPr>
        <w:jc w:val="left"/>
        <w:rPr>
          <w:rFonts w:hint="eastAsia" w:asciiTheme="minorEastAsia" w:hAnsiTheme="minorEastAsia" w:eastAsiaTheme="minorEastAsia"/>
          <w:sz w:val="20"/>
          <w:szCs w:val="20"/>
          <w:lang w:val="ru-RU"/>
        </w:rPr>
      </w:pPr>
    </w:p>
    <w:p>
      <w:pPr>
        <w:numPr>
          <w:ilvl w:val="0"/>
          <w:numId w:val="4"/>
        </w:numPr>
        <w:ind w:firstLine="0" w:firstLineChars="0"/>
        <w:jc w:val="left"/>
        <w:rPr>
          <w:rFonts w:hint="eastAsia"/>
          <w:sz w:val="28"/>
          <w:szCs w:val="28"/>
          <w:highlight w:val="none"/>
          <w:lang w:val="ru-RU"/>
        </w:rPr>
      </w:pPr>
      <w:r>
        <w:rPr>
          <w:rFonts w:hint="eastAsia"/>
          <w:sz w:val="28"/>
          <w:szCs w:val="28"/>
          <w:highlight w:val="none"/>
          <w:lang w:val="ru-RU"/>
        </w:rPr>
        <w:t>民族结构</w:t>
      </w:r>
    </w:p>
    <w:p>
      <w:pPr>
        <w:numPr>
          <w:ilvl w:val="0"/>
          <w:numId w:val="0"/>
        </w:numPr>
        <w:ind w:firstLine="560"/>
        <w:jc w:val="both"/>
        <w:rPr>
          <w:sz w:val="28"/>
          <w:szCs w:val="28"/>
          <w:highlight w:val="none"/>
          <w:lang w:val="ru-RU"/>
        </w:rPr>
      </w:pPr>
      <w:r>
        <w:rPr>
          <w:rFonts w:hint="eastAsia"/>
          <w:sz w:val="28"/>
          <w:szCs w:val="28"/>
          <w:highlight w:val="none"/>
          <w:lang w:val="en-US" w:eastAsia="zh-CN"/>
        </w:rPr>
        <w:t>2023届毕业生来自于15个民族，汉族生源人数最多，共有3375人（占比83.91%），非汉族生源人数647人（占比16.09%）。非汉族生源人数位列前三的民族分别为：苗族296人（占比7.36%）；藏族177人（占比4.40%）；土家族52人（占比1.29%）。</w:t>
      </w:r>
    </w:p>
    <w:p>
      <w:pPr>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rPr>
        <w:t>表</w:t>
      </w:r>
      <w:r>
        <w:rPr>
          <w:rFonts w:asciiTheme="minorEastAsia" w:hAnsiTheme="minorEastAsia" w:eastAsiaTheme="minorEastAsia"/>
          <w:sz w:val="20"/>
          <w:szCs w:val="20"/>
        </w:rPr>
        <w:t xml:space="preserve"> 1-</w:t>
      </w:r>
      <w:r>
        <w:rPr>
          <w:rFonts w:hint="eastAsia" w:asciiTheme="minorEastAsia" w:hAnsiTheme="minorEastAsia" w:eastAsiaTheme="minorEastAsia"/>
          <w:sz w:val="20"/>
          <w:szCs w:val="20"/>
        </w:rPr>
        <w:t>3</w:t>
      </w:r>
      <w:r>
        <w:rPr>
          <w:rFonts w:asciiTheme="minorEastAsia" w:hAnsiTheme="minorEastAsia" w:eastAsiaTheme="minorEastAsia"/>
          <w:sz w:val="20"/>
          <w:szCs w:val="20"/>
        </w:rPr>
        <w:t xml:space="preserve"> 20</w:t>
      </w:r>
      <w:r>
        <w:rPr>
          <w:rFonts w:hint="eastAsia" w:asciiTheme="minorEastAsia" w:hAnsiTheme="minorEastAsia" w:eastAsiaTheme="minorEastAsia"/>
          <w:sz w:val="20"/>
          <w:szCs w:val="20"/>
          <w:lang w:val="en-US" w:eastAsia="zh-CN"/>
        </w:rPr>
        <w:t>23</w:t>
      </w:r>
      <w:r>
        <w:rPr>
          <w:rFonts w:hint="eastAsia" w:asciiTheme="minorEastAsia" w:hAnsiTheme="minorEastAsia" w:eastAsiaTheme="minorEastAsia"/>
          <w:sz w:val="20"/>
          <w:szCs w:val="20"/>
        </w:rPr>
        <w:t>届毕业生民族结构</w:t>
      </w:r>
    </w:p>
    <w:p>
      <w:pPr>
        <w:jc w:val="right"/>
        <w:rPr>
          <w:rFonts w:asciiTheme="minorEastAsia" w:hAnsiTheme="minorEastAsia" w:eastAsiaTheme="minorEastAsia"/>
          <w:sz w:val="20"/>
          <w:szCs w:val="20"/>
          <w:lang w:val="ru-RU"/>
        </w:rPr>
      </w:pPr>
      <w:r>
        <w:rPr>
          <w:rFonts w:hint="eastAsia" w:asciiTheme="minorEastAsia" w:hAnsiTheme="minorEastAsia" w:eastAsiaTheme="minorEastAsia"/>
          <w:sz w:val="20"/>
          <w:szCs w:val="20"/>
          <w:lang w:val="ru-RU"/>
        </w:rPr>
        <w:t>单位：人数（人）、比例（%）</w:t>
      </w:r>
    </w:p>
    <w:tbl>
      <w:tblPr>
        <w:tblStyle w:val="14"/>
        <w:tblW w:w="0" w:type="auto"/>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Layout w:type="autofit"/>
        <w:tblCellMar>
          <w:top w:w="0" w:type="dxa"/>
          <w:left w:w="108" w:type="dxa"/>
          <w:bottom w:w="0" w:type="dxa"/>
          <w:right w:w="108" w:type="dxa"/>
        </w:tblCellMar>
      </w:tblPr>
      <w:tblGrid>
        <w:gridCol w:w="2840"/>
        <w:gridCol w:w="2841"/>
        <w:gridCol w:w="2841"/>
      </w:tblGrid>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40" w:type="dxa"/>
            <w:tcBorders>
              <w:top w:val="single" w:color="4BACC6" w:themeColor="accent5" w:sz="8" w:space="0"/>
              <w:left w:val="single" w:color="4BACC6" w:themeColor="accent5" w:sz="8" w:space="0"/>
              <w:bottom w:val="single" w:color="4BACC6" w:themeColor="accent5" w:sz="18" w:space="0"/>
              <w:right w:val="single" w:color="4BACC6" w:themeColor="accent5" w:sz="8" w:space="0"/>
              <w:insideH w:val="single" w:sz="18" w:space="0"/>
              <w:insideV w:val="single" w:sz="8" w:space="0"/>
            </w:tcBorders>
            <w:shd w:val="clear" w:color="auto" w:fill="4BACC6" w:themeFill="accent5"/>
          </w:tcPr>
          <w:p>
            <w:pPr>
              <w:spacing w:before="0" w:after="0" w:line="240" w:lineRule="auto"/>
              <w:jc w:val="center"/>
              <w:rPr>
                <w:rFonts w:asciiTheme="minorEastAsia" w:hAnsiTheme="minorEastAsia" w:eastAsiaTheme="minorEastAsia" w:cstheme="majorBidi"/>
                <w:b w:val="0"/>
                <w:bCs/>
                <w:sz w:val="20"/>
                <w:szCs w:val="20"/>
                <w:lang w:val="ru-RU"/>
              </w:rPr>
            </w:pPr>
            <w:r>
              <w:rPr>
                <w:rFonts w:hint="eastAsia" w:asciiTheme="minorEastAsia" w:hAnsiTheme="minorEastAsia" w:eastAsiaTheme="minorEastAsia" w:cstheme="majorBidi"/>
                <w:b w:val="0"/>
                <w:bCs/>
                <w:sz w:val="20"/>
                <w:szCs w:val="20"/>
                <w:lang w:val="ru-RU"/>
              </w:rPr>
              <w:t>民族</w:t>
            </w:r>
          </w:p>
        </w:tc>
        <w:tc>
          <w:tcPr>
            <w:tcW w:w="2841" w:type="dxa"/>
            <w:tcBorders>
              <w:top w:val="single" w:color="4BACC6" w:themeColor="accent5" w:sz="8" w:space="0"/>
              <w:bottom w:val="single" w:color="4BACC6" w:themeColor="accent5" w:sz="18" w:space="0"/>
              <w:right w:val="single" w:color="4BACC6" w:themeColor="accent5" w:sz="8" w:space="0"/>
              <w:insideH w:val="single" w:sz="18" w:space="0"/>
              <w:insideV w:val="single" w:sz="8" w:space="0"/>
            </w:tcBorders>
            <w:shd w:val="clear" w:color="auto" w:fill="4BACC6" w:themeFill="accent5"/>
          </w:tcPr>
          <w:p>
            <w:pPr>
              <w:spacing w:before="0" w:after="0" w:line="240" w:lineRule="auto"/>
              <w:jc w:val="center"/>
              <w:rPr>
                <w:rFonts w:asciiTheme="minorEastAsia" w:hAnsiTheme="minorEastAsia" w:eastAsiaTheme="minorEastAsia" w:cstheme="majorBidi"/>
                <w:b w:val="0"/>
                <w:bCs/>
                <w:sz w:val="20"/>
                <w:szCs w:val="20"/>
                <w:lang w:val="ru-RU"/>
              </w:rPr>
            </w:pPr>
            <w:r>
              <w:rPr>
                <w:rFonts w:hint="eastAsia" w:asciiTheme="minorEastAsia" w:hAnsiTheme="minorEastAsia" w:eastAsiaTheme="minorEastAsia" w:cstheme="majorBidi"/>
                <w:b w:val="0"/>
                <w:bCs/>
                <w:sz w:val="20"/>
                <w:szCs w:val="20"/>
                <w:lang w:val="ru-RU"/>
              </w:rPr>
              <w:t>人数</w:t>
            </w:r>
          </w:p>
        </w:tc>
        <w:tc>
          <w:tcPr>
            <w:tcW w:w="2841" w:type="dxa"/>
            <w:tcBorders>
              <w:top w:val="single" w:color="4BACC6" w:themeColor="accent5" w:sz="8" w:space="0"/>
              <w:bottom w:val="single" w:color="4BACC6" w:themeColor="accent5" w:sz="18" w:space="0"/>
              <w:right w:val="single" w:color="4BACC6" w:themeColor="accent5" w:sz="8" w:space="0"/>
              <w:insideH w:val="single" w:sz="18" w:space="0"/>
              <w:insideV w:val="single" w:sz="8" w:space="0"/>
            </w:tcBorders>
            <w:shd w:val="clear" w:color="auto" w:fill="4BACC6" w:themeFill="accent5"/>
          </w:tcPr>
          <w:p>
            <w:pPr>
              <w:spacing w:before="0" w:after="0" w:line="240" w:lineRule="auto"/>
              <w:jc w:val="center"/>
              <w:rPr>
                <w:rFonts w:asciiTheme="minorEastAsia" w:hAnsiTheme="minorEastAsia" w:eastAsiaTheme="minorEastAsia" w:cstheme="majorBidi"/>
                <w:b w:val="0"/>
                <w:bCs/>
                <w:sz w:val="20"/>
                <w:szCs w:val="20"/>
                <w:lang w:val="ru-RU"/>
              </w:rPr>
            </w:pPr>
            <w:r>
              <w:rPr>
                <w:rFonts w:hint="eastAsia" w:asciiTheme="minorEastAsia" w:hAnsiTheme="minorEastAsia" w:eastAsiaTheme="minorEastAsia" w:cstheme="majorBidi"/>
                <w:b w:val="0"/>
                <w:bCs/>
                <w:sz w:val="20"/>
                <w:szCs w:val="20"/>
                <w:lang w:val="ru-RU"/>
              </w:rPr>
              <w:t>比例</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4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tcPr>
          <w:p>
            <w:pPr>
              <w:jc w:val="center"/>
              <w:rPr>
                <w:rFonts w:asciiTheme="minorEastAsia" w:hAnsiTheme="minorEastAsia" w:eastAsiaTheme="minorEastAsia" w:cstheme="majorBidi"/>
                <w:b w:val="0"/>
                <w:bCs/>
                <w:sz w:val="20"/>
                <w:szCs w:val="20"/>
                <w:lang w:val="ru-RU"/>
              </w:rPr>
            </w:pPr>
            <w:r>
              <w:rPr>
                <w:rFonts w:hint="eastAsia" w:asciiTheme="minorEastAsia" w:hAnsiTheme="minorEastAsia" w:eastAsiaTheme="minorEastAsia" w:cstheme="majorBidi"/>
                <w:b w:val="0"/>
                <w:bCs/>
                <w:sz w:val="20"/>
                <w:szCs w:val="20"/>
                <w:lang w:val="ru-RU"/>
              </w:rPr>
              <w:t>汉族</w:t>
            </w:r>
          </w:p>
        </w:tc>
        <w:tc>
          <w:tcPr>
            <w:tcW w:w="2841"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3375</w:t>
            </w:r>
          </w:p>
        </w:tc>
        <w:tc>
          <w:tcPr>
            <w:tcW w:w="2841"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83.91</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4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tcPr>
          <w:p>
            <w:pPr>
              <w:jc w:val="center"/>
              <w:rPr>
                <w:rFonts w:asciiTheme="minorEastAsia" w:hAnsiTheme="minorEastAsia" w:eastAsiaTheme="minorEastAsia" w:cstheme="majorBidi"/>
                <w:b w:val="0"/>
                <w:bCs/>
                <w:sz w:val="20"/>
                <w:szCs w:val="20"/>
                <w:lang w:val="ru-RU"/>
              </w:rPr>
            </w:pPr>
            <w:r>
              <w:rPr>
                <w:rFonts w:hint="eastAsia" w:asciiTheme="minorEastAsia" w:hAnsiTheme="minorEastAsia" w:eastAsiaTheme="minorEastAsia" w:cstheme="majorBidi"/>
                <w:b w:val="0"/>
                <w:bCs/>
                <w:sz w:val="20"/>
                <w:szCs w:val="20"/>
                <w:lang w:val="en-US" w:eastAsia="zh-CN"/>
              </w:rPr>
              <w:t>苗</w:t>
            </w:r>
            <w:r>
              <w:rPr>
                <w:rFonts w:hint="eastAsia" w:asciiTheme="minorEastAsia" w:hAnsiTheme="minorEastAsia" w:eastAsiaTheme="minorEastAsia" w:cstheme="majorBidi"/>
                <w:b w:val="0"/>
                <w:bCs/>
                <w:sz w:val="20"/>
                <w:szCs w:val="20"/>
                <w:lang w:val="ru-RU"/>
              </w:rPr>
              <w:t>族</w:t>
            </w:r>
          </w:p>
        </w:tc>
        <w:tc>
          <w:tcPr>
            <w:tcW w:w="2841"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296</w:t>
            </w:r>
          </w:p>
        </w:tc>
        <w:tc>
          <w:tcPr>
            <w:tcW w:w="2841"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7.36</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4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tcPr>
          <w:p>
            <w:pPr>
              <w:jc w:val="center"/>
              <w:rPr>
                <w:rFonts w:asciiTheme="minorEastAsia" w:hAnsiTheme="minorEastAsia" w:eastAsiaTheme="minorEastAsia" w:cstheme="majorBidi"/>
                <w:b w:val="0"/>
                <w:bCs/>
                <w:sz w:val="20"/>
                <w:szCs w:val="20"/>
                <w:lang w:val="ru-RU"/>
              </w:rPr>
            </w:pPr>
            <w:r>
              <w:rPr>
                <w:rFonts w:hint="eastAsia" w:asciiTheme="minorEastAsia" w:hAnsiTheme="minorEastAsia" w:eastAsiaTheme="minorEastAsia" w:cstheme="majorBidi"/>
                <w:b w:val="0"/>
                <w:bCs/>
                <w:sz w:val="20"/>
                <w:szCs w:val="20"/>
                <w:lang w:val="en-US" w:eastAsia="zh-CN"/>
              </w:rPr>
              <w:t>藏</w:t>
            </w:r>
            <w:r>
              <w:rPr>
                <w:rFonts w:hint="eastAsia" w:asciiTheme="minorEastAsia" w:hAnsiTheme="minorEastAsia" w:eastAsiaTheme="minorEastAsia" w:cstheme="majorBidi"/>
                <w:b w:val="0"/>
                <w:bCs/>
                <w:sz w:val="20"/>
                <w:szCs w:val="20"/>
                <w:lang w:val="ru-RU"/>
              </w:rPr>
              <w:t>族</w:t>
            </w:r>
          </w:p>
        </w:tc>
        <w:tc>
          <w:tcPr>
            <w:tcW w:w="2841"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177</w:t>
            </w:r>
          </w:p>
        </w:tc>
        <w:tc>
          <w:tcPr>
            <w:tcW w:w="2841"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4.40</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4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tcPr>
          <w:p>
            <w:pPr>
              <w:jc w:val="center"/>
              <w:rPr>
                <w:rFonts w:asciiTheme="minorEastAsia" w:hAnsiTheme="minorEastAsia" w:eastAsiaTheme="minorEastAsia" w:cstheme="majorBidi"/>
                <w:b w:val="0"/>
                <w:bCs/>
                <w:sz w:val="20"/>
                <w:szCs w:val="20"/>
                <w:lang w:val="ru-RU"/>
              </w:rPr>
            </w:pPr>
            <w:r>
              <w:rPr>
                <w:rFonts w:hint="eastAsia" w:asciiTheme="minorEastAsia" w:hAnsiTheme="minorEastAsia" w:eastAsiaTheme="minorEastAsia" w:cstheme="majorBidi"/>
                <w:b w:val="0"/>
                <w:bCs/>
                <w:sz w:val="20"/>
                <w:szCs w:val="20"/>
                <w:lang w:val="en-US" w:eastAsia="zh-CN"/>
              </w:rPr>
              <w:t>土家</w:t>
            </w:r>
            <w:r>
              <w:rPr>
                <w:rFonts w:hint="eastAsia" w:asciiTheme="minorEastAsia" w:hAnsiTheme="minorEastAsia" w:eastAsiaTheme="minorEastAsia" w:cstheme="majorBidi"/>
                <w:b w:val="0"/>
                <w:bCs/>
                <w:sz w:val="20"/>
                <w:szCs w:val="20"/>
                <w:lang w:val="ru-RU"/>
              </w:rPr>
              <w:t>族</w:t>
            </w:r>
          </w:p>
        </w:tc>
        <w:tc>
          <w:tcPr>
            <w:tcW w:w="2841"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52</w:t>
            </w:r>
          </w:p>
        </w:tc>
        <w:tc>
          <w:tcPr>
            <w:tcW w:w="2841"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1.29</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4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tcPr>
          <w:p>
            <w:pPr>
              <w:jc w:val="center"/>
              <w:rPr>
                <w:rFonts w:asciiTheme="minorEastAsia" w:hAnsiTheme="minorEastAsia" w:eastAsiaTheme="minorEastAsia" w:cstheme="majorBidi"/>
                <w:b w:val="0"/>
                <w:bCs/>
                <w:sz w:val="20"/>
                <w:szCs w:val="20"/>
                <w:lang w:val="ru-RU"/>
              </w:rPr>
            </w:pPr>
            <w:r>
              <w:rPr>
                <w:rFonts w:hint="eastAsia" w:asciiTheme="minorEastAsia" w:hAnsiTheme="minorEastAsia" w:eastAsiaTheme="minorEastAsia" w:cstheme="majorBidi"/>
                <w:b w:val="0"/>
                <w:bCs/>
                <w:sz w:val="20"/>
                <w:szCs w:val="20"/>
                <w:lang w:val="en-US" w:eastAsia="zh-CN"/>
              </w:rPr>
              <w:t>侗</w:t>
            </w:r>
            <w:r>
              <w:rPr>
                <w:rFonts w:hint="eastAsia" w:asciiTheme="minorEastAsia" w:hAnsiTheme="minorEastAsia" w:eastAsiaTheme="minorEastAsia" w:cstheme="majorBidi"/>
                <w:b w:val="0"/>
                <w:bCs/>
                <w:sz w:val="20"/>
                <w:szCs w:val="20"/>
                <w:lang w:val="ru-RU"/>
              </w:rPr>
              <w:t>族</w:t>
            </w:r>
            <w:r>
              <w:rPr>
                <w:rFonts w:hint="eastAsia" w:asciiTheme="minorEastAsia" w:hAnsiTheme="minorEastAsia" w:eastAsiaTheme="minorEastAsia" w:cstheme="majorBidi"/>
                <w:b w:val="0"/>
                <w:bCs/>
                <w:sz w:val="20"/>
                <w:szCs w:val="20"/>
                <w:lang w:val="en-US" w:eastAsia="zh-CN"/>
              </w:rPr>
              <w:t xml:space="preserve"> </w:t>
            </w:r>
          </w:p>
        </w:tc>
        <w:tc>
          <w:tcPr>
            <w:tcW w:w="2841"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49</w:t>
            </w:r>
          </w:p>
        </w:tc>
        <w:tc>
          <w:tcPr>
            <w:tcW w:w="2841"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1.22</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4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tcPr>
          <w:p>
            <w:pPr>
              <w:jc w:val="center"/>
              <w:rPr>
                <w:rFonts w:asciiTheme="minorEastAsia" w:hAnsiTheme="minorEastAsia" w:eastAsiaTheme="minorEastAsia" w:cstheme="majorBidi"/>
                <w:b w:val="0"/>
                <w:bCs/>
                <w:sz w:val="20"/>
                <w:szCs w:val="20"/>
                <w:lang w:val="ru-RU"/>
              </w:rPr>
            </w:pPr>
            <w:r>
              <w:rPr>
                <w:rFonts w:hint="eastAsia" w:asciiTheme="minorEastAsia" w:hAnsiTheme="minorEastAsia" w:eastAsiaTheme="minorEastAsia" w:cstheme="majorBidi"/>
                <w:b w:val="0"/>
                <w:bCs/>
                <w:sz w:val="20"/>
                <w:szCs w:val="20"/>
                <w:lang w:val="en-US" w:eastAsia="zh-CN"/>
              </w:rPr>
              <w:t>瑶</w:t>
            </w:r>
            <w:r>
              <w:rPr>
                <w:rFonts w:hint="eastAsia" w:asciiTheme="minorEastAsia" w:hAnsiTheme="minorEastAsia" w:eastAsiaTheme="minorEastAsia" w:cstheme="majorBidi"/>
                <w:b w:val="0"/>
                <w:bCs/>
                <w:sz w:val="20"/>
                <w:szCs w:val="20"/>
                <w:lang w:val="ru-RU"/>
              </w:rPr>
              <w:t>族</w:t>
            </w:r>
          </w:p>
        </w:tc>
        <w:tc>
          <w:tcPr>
            <w:tcW w:w="2841"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37</w:t>
            </w:r>
          </w:p>
        </w:tc>
        <w:tc>
          <w:tcPr>
            <w:tcW w:w="2841"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0.92</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4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jc w:val="center"/>
              <w:rPr>
                <w:rFonts w:asciiTheme="minorEastAsia" w:hAnsiTheme="minorEastAsia" w:eastAsiaTheme="minorEastAsia" w:cstheme="majorBidi"/>
                <w:b w:val="0"/>
                <w:bCs/>
                <w:sz w:val="20"/>
                <w:szCs w:val="20"/>
                <w:lang w:val="ru-RU"/>
              </w:rPr>
            </w:pPr>
            <w:r>
              <w:rPr>
                <w:rFonts w:hint="eastAsia" w:asciiTheme="minorEastAsia" w:hAnsiTheme="minorEastAsia" w:eastAsiaTheme="minorEastAsia" w:cstheme="majorBidi"/>
                <w:b w:val="0"/>
                <w:bCs/>
                <w:sz w:val="20"/>
                <w:szCs w:val="20"/>
                <w:lang w:val="en-US" w:eastAsia="zh-CN"/>
              </w:rPr>
              <w:t>回</w:t>
            </w:r>
            <w:r>
              <w:rPr>
                <w:rFonts w:hint="eastAsia" w:asciiTheme="minorEastAsia" w:hAnsiTheme="minorEastAsia" w:eastAsiaTheme="minorEastAsia" w:cstheme="majorBidi"/>
                <w:b w:val="0"/>
                <w:bCs/>
                <w:sz w:val="20"/>
                <w:szCs w:val="20"/>
                <w:lang w:val="ru-RU"/>
              </w:rPr>
              <w:t>族</w:t>
            </w:r>
          </w:p>
        </w:tc>
        <w:tc>
          <w:tcPr>
            <w:tcW w:w="2841"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26</w:t>
            </w:r>
          </w:p>
        </w:tc>
        <w:tc>
          <w:tcPr>
            <w:tcW w:w="2841"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0.65</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4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jc w:val="center"/>
              <w:rPr>
                <w:rFonts w:asciiTheme="minorEastAsia" w:hAnsiTheme="minorEastAsia" w:eastAsiaTheme="minorEastAsia" w:cstheme="majorBidi"/>
                <w:b w:val="0"/>
                <w:bCs/>
                <w:sz w:val="20"/>
                <w:szCs w:val="20"/>
                <w:lang w:val="ru-RU"/>
              </w:rPr>
            </w:pPr>
            <w:r>
              <w:rPr>
                <w:rFonts w:hint="eastAsia" w:asciiTheme="minorEastAsia" w:hAnsiTheme="minorEastAsia" w:eastAsiaTheme="minorEastAsia" w:cstheme="majorBidi"/>
                <w:b w:val="0"/>
                <w:bCs/>
                <w:sz w:val="20"/>
                <w:szCs w:val="20"/>
                <w:lang w:val="en-US" w:eastAsia="zh-CN"/>
              </w:rPr>
              <w:t xml:space="preserve">仫佬族 </w:t>
            </w:r>
          </w:p>
        </w:tc>
        <w:tc>
          <w:tcPr>
            <w:tcW w:w="2841"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jc w:val="center"/>
              <w:rPr>
                <w:rFonts w:hint="eastAsia" w:asciiTheme="minorEastAsia" w:hAnsiTheme="minorEastAsia" w:eastAsiaTheme="minorEastAsia"/>
                <w:sz w:val="20"/>
                <w:szCs w:val="20"/>
                <w:lang w:val="ru-RU" w:eastAsia="zh-CN"/>
              </w:rPr>
            </w:pPr>
            <w:r>
              <w:rPr>
                <w:rFonts w:hint="eastAsia" w:asciiTheme="minorEastAsia" w:hAnsiTheme="minorEastAsia" w:eastAsiaTheme="minorEastAsia"/>
                <w:sz w:val="20"/>
                <w:szCs w:val="20"/>
                <w:lang w:val="en-US" w:eastAsia="zh-CN"/>
              </w:rPr>
              <w:t>2</w:t>
            </w:r>
          </w:p>
        </w:tc>
        <w:tc>
          <w:tcPr>
            <w:tcW w:w="2841"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0.05</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4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jc w:val="center"/>
              <w:rPr>
                <w:rFonts w:asciiTheme="minorEastAsia" w:hAnsiTheme="minorEastAsia" w:eastAsiaTheme="minorEastAsia" w:cstheme="majorBidi"/>
                <w:b w:val="0"/>
                <w:bCs/>
                <w:kern w:val="2"/>
                <w:sz w:val="20"/>
                <w:szCs w:val="20"/>
                <w:lang w:val="ru-RU" w:eastAsia="zh-CN" w:bidi="ar-SA"/>
              </w:rPr>
            </w:pPr>
            <w:r>
              <w:rPr>
                <w:rFonts w:hint="eastAsia" w:asciiTheme="minorEastAsia" w:hAnsiTheme="minorEastAsia" w:eastAsiaTheme="minorEastAsia" w:cstheme="majorBidi"/>
                <w:b w:val="0"/>
                <w:bCs/>
                <w:sz w:val="20"/>
                <w:szCs w:val="20"/>
                <w:lang w:val="en-US" w:eastAsia="zh-CN"/>
              </w:rPr>
              <w:t>其他</w:t>
            </w:r>
          </w:p>
        </w:tc>
        <w:tc>
          <w:tcPr>
            <w:tcW w:w="2841"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jc w:val="center"/>
              <w:rPr>
                <w:rFonts w:hint="eastAsia" w:cs="Times New Roman" w:asciiTheme="minorEastAsia" w:hAnsiTheme="minorEastAsia" w:eastAsiaTheme="minorEastAsia"/>
                <w:kern w:val="2"/>
                <w:sz w:val="20"/>
                <w:szCs w:val="20"/>
                <w:lang w:val="ru-RU" w:eastAsia="zh-CN" w:bidi="ar-SA"/>
              </w:rPr>
            </w:pPr>
            <w:r>
              <w:rPr>
                <w:rFonts w:hint="eastAsia" w:asciiTheme="minorEastAsia" w:hAnsiTheme="minorEastAsia" w:eastAsiaTheme="minorEastAsia"/>
                <w:sz w:val="20"/>
                <w:szCs w:val="20"/>
                <w:lang w:val="en-US" w:eastAsia="zh-CN"/>
              </w:rPr>
              <w:t>2</w:t>
            </w:r>
          </w:p>
        </w:tc>
        <w:tc>
          <w:tcPr>
            <w:tcW w:w="2841"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0.05</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rPr>
          <w:trHeight w:val="229" w:hRule="atLeast"/>
        </w:trPr>
        <w:tc>
          <w:tcPr>
            <w:tcW w:w="284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jc w:val="center"/>
              <w:rPr>
                <w:rFonts w:hint="default" w:asciiTheme="minorEastAsia" w:hAnsiTheme="minorEastAsia" w:eastAsiaTheme="minorEastAsia" w:cstheme="majorBidi"/>
                <w:b w:val="0"/>
                <w:bCs/>
                <w:kern w:val="2"/>
                <w:sz w:val="20"/>
                <w:szCs w:val="20"/>
                <w:lang w:val="ru-RU" w:eastAsia="zh-CN" w:bidi="ar-SA"/>
              </w:rPr>
            </w:pPr>
            <w:r>
              <w:rPr>
                <w:rFonts w:hint="eastAsia" w:asciiTheme="minorEastAsia" w:hAnsiTheme="minorEastAsia" w:eastAsiaTheme="minorEastAsia" w:cstheme="majorBidi"/>
                <w:b w:val="0"/>
                <w:bCs/>
                <w:sz w:val="20"/>
                <w:szCs w:val="20"/>
                <w:lang w:val="en-US" w:eastAsia="zh-CN"/>
              </w:rPr>
              <w:t>门巴</w:t>
            </w:r>
            <w:r>
              <w:rPr>
                <w:rFonts w:hint="eastAsia" w:asciiTheme="minorEastAsia" w:hAnsiTheme="minorEastAsia" w:eastAsiaTheme="minorEastAsia" w:cstheme="majorBidi"/>
                <w:b w:val="0"/>
                <w:bCs/>
                <w:sz w:val="20"/>
                <w:szCs w:val="20"/>
                <w:lang w:val="ru-RU"/>
              </w:rPr>
              <w:t>族</w:t>
            </w:r>
          </w:p>
        </w:tc>
        <w:tc>
          <w:tcPr>
            <w:tcW w:w="2841"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jc w:val="center"/>
              <w:rPr>
                <w:rFonts w:hint="eastAsia" w:cs="Times New Roman" w:asciiTheme="minorEastAsia" w:hAnsiTheme="minorEastAsia" w:eastAsiaTheme="minorEastAsia"/>
                <w:kern w:val="2"/>
                <w:sz w:val="20"/>
                <w:szCs w:val="20"/>
                <w:lang w:val="ru-RU" w:eastAsia="zh-CN" w:bidi="ar-SA"/>
              </w:rPr>
            </w:pPr>
            <w:r>
              <w:rPr>
                <w:rFonts w:hint="eastAsia" w:asciiTheme="minorEastAsia" w:hAnsiTheme="minorEastAsia" w:eastAsiaTheme="minorEastAsia"/>
                <w:sz w:val="20"/>
                <w:szCs w:val="20"/>
                <w:lang w:val="en-US" w:eastAsia="zh-CN"/>
              </w:rPr>
              <w:t>1</w:t>
            </w:r>
          </w:p>
        </w:tc>
        <w:tc>
          <w:tcPr>
            <w:tcW w:w="2841"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0.025</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4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jc w:val="center"/>
              <w:rPr>
                <w:rFonts w:hint="eastAsia" w:asciiTheme="minorEastAsia" w:hAnsiTheme="minorEastAsia" w:eastAsiaTheme="minorEastAsia" w:cstheme="majorBidi"/>
                <w:b/>
                <w:bCs/>
                <w:kern w:val="2"/>
                <w:sz w:val="20"/>
                <w:szCs w:val="20"/>
                <w:lang w:val="en-US" w:eastAsia="zh-CN" w:bidi="ar-SA"/>
              </w:rPr>
            </w:pPr>
            <w:r>
              <w:rPr>
                <w:rFonts w:hint="eastAsia" w:asciiTheme="minorEastAsia" w:hAnsiTheme="minorEastAsia" w:eastAsiaTheme="minorEastAsia" w:cstheme="majorBidi"/>
                <w:b w:val="0"/>
                <w:bCs w:val="0"/>
                <w:sz w:val="20"/>
                <w:szCs w:val="20"/>
                <w:lang w:val="en-US" w:eastAsia="zh-CN"/>
              </w:rPr>
              <w:t>布依族</w:t>
            </w:r>
          </w:p>
        </w:tc>
        <w:tc>
          <w:tcPr>
            <w:tcW w:w="2841"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jc w:val="center"/>
              <w:rPr>
                <w:rFonts w:hint="eastAsia" w:cs="Times New Roman" w:asciiTheme="minorEastAsia" w:hAnsiTheme="minorEastAsia" w:eastAsiaTheme="minorEastAsia"/>
                <w:b w:val="0"/>
                <w:bCs w:val="0"/>
                <w:kern w:val="2"/>
                <w:sz w:val="20"/>
                <w:szCs w:val="20"/>
                <w:lang w:val="ru-RU" w:eastAsia="zh-CN" w:bidi="ar-SA"/>
              </w:rPr>
            </w:pPr>
            <w:r>
              <w:rPr>
                <w:rFonts w:hint="eastAsia" w:asciiTheme="minorEastAsia" w:hAnsiTheme="minorEastAsia" w:eastAsiaTheme="minorEastAsia"/>
                <w:b w:val="0"/>
                <w:bCs w:val="0"/>
                <w:sz w:val="20"/>
                <w:szCs w:val="20"/>
                <w:lang w:val="en-US" w:eastAsia="zh-CN"/>
              </w:rPr>
              <w:t>1</w:t>
            </w:r>
          </w:p>
        </w:tc>
        <w:tc>
          <w:tcPr>
            <w:tcW w:w="2841"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jc w:val="center"/>
              <w:rPr>
                <w:rFonts w:hint="default" w:cs="Times New Roman" w:asciiTheme="minorEastAsia" w:hAnsiTheme="minorEastAsia" w:eastAsiaTheme="minorEastAsia"/>
                <w:b/>
                <w:bCs/>
                <w:kern w:val="2"/>
                <w:sz w:val="20"/>
                <w:szCs w:val="20"/>
                <w:lang w:val="en-US" w:eastAsia="zh-CN" w:bidi="ar-SA"/>
              </w:rPr>
            </w:pPr>
            <w:r>
              <w:rPr>
                <w:rFonts w:hint="eastAsia" w:asciiTheme="minorEastAsia" w:hAnsiTheme="minorEastAsia" w:eastAsiaTheme="minorEastAsia"/>
                <w:sz w:val="20"/>
                <w:szCs w:val="20"/>
                <w:lang w:val="en-US" w:eastAsia="zh-CN"/>
              </w:rPr>
              <w:t>0.025</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4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jc w:val="center"/>
              <w:rPr>
                <w:rFonts w:hint="eastAsia" w:asciiTheme="minorEastAsia" w:hAnsiTheme="minorEastAsia" w:eastAsiaTheme="minorEastAsia" w:cstheme="majorBidi"/>
                <w:b w:val="0"/>
                <w:bCs/>
                <w:kern w:val="2"/>
                <w:sz w:val="20"/>
                <w:szCs w:val="20"/>
                <w:lang w:val="ru-RU" w:eastAsia="zh-CN" w:bidi="ar-SA"/>
              </w:rPr>
            </w:pPr>
            <w:r>
              <w:rPr>
                <w:rFonts w:hint="eastAsia" w:asciiTheme="minorEastAsia" w:hAnsiTheme="minorEastAsia" w:eastAsiaTheme="minorEastAsia" w:cstheme="majorBidi"/>
                <w:b w:val="0"/>
                <w:bCs/>
                <w:sz w:val="20"/>
                <w:szCs w:val="20"/>
                <w:lang w:val="en-US" w:eastAsia="zh-CN"/>
              </w:rPr>
              <w:t>独龙族</w:t>
            </w:r>
          </w:p>
        </w:tc>
        <w:tc>
          <w:tcPr>
            <w:tcW w:w="2841"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jc w:val="center"/>
              <w:rPr>
                <w:rFonts w:hint="default" w:cs="Times New Roman" w:asciiTheme="minorEastAsia" w:hAnsiTheme="minorEastAsia" w:eastAsiaTheme="minorEastAsia"/>
                <w:b w:val="0"/>
                <w:bCs w:val="0"/>
                <w:kern w:val="2"/>
                <w:sz w:val="20"/>
                <w:szCs w:val="20"/>
                <w:lang w:val="en-US" w:eastAsia="zh-CN" w:bidi="ar-SA"/>
              </w:rPr>
            </w:pPr>
            <w:r>
              <w:rPr>
                <w:rFonts w:hint="eastAsia" w:asciiTheme="minorEastAsia" w:hAnsiTheme="minorEastAsia" w:eastAsiaTheme="minorEastAsia"/>
                <w:b w:val="0"/>
                <w:bCs w:val="0"/>
                <w:sz w:val="20"/>
                <w:szCs w:val="20"/>
                <w:lang w:val="en-US" w:eastAsia="zh-CN"/>
              </w:rPr>
              <w:t>1</w:t>
            </w:r>
          </w:p>
        </w:tc>
        <w:tc>
          <w:tcPr>
            <w:tcW w:w="2841"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jc w:val="center"/>
              <w:rPr>
                <w:rFonts w:hint="default" w:cs="Times New Roman" w:asciiTheme="minorEastAsia" w:hAnsiTheme="minorEastAsia" w:eastAsiaTheme="minorEastAsia"/>
                <w:b/>
                <w:bCs/>
                <w:kern w:val="2"/>
                <w:sz w:val="20"/>
                <w:szCs w:val="20"/>
                <w:lang w:val="en-US" w:eastAsia="zh-CN" w:bidi="ar-SA"/>
              </w:rPr>
            </w:pPr>
            <w:r>
              <w:rPr>
                <w:rFonts w:hint="eastAsia" w:asciiTheme="minorEastAsia" w:hAnsiTheme="minorEastAsia" w:eastAsiaTheme="minorEastAsia"/>
                <w:sz w:val="20"/>
                <w:szCs w:val="20"/>
                <w:lang w:val="en-US" w:eastAsia="zh-CN"/>
              </w:rPr>
              <w:t>0.025</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4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jc w:val="center"/>
              <w:rPr>
                <w:rFonts w:hint="eastAsia" w:asciiTheme="minorEastAsia" w:hAnsiTheme="minorEastAsia" w:eastAsiaTheme="minorEastAsia" w:cstheme="majorBidi"/>
                <w:b/>
                <w:bCs/>
                <w:kern w:val="2"/>
                <w:sz w:val="20"/>
                <w:szCs w:val="20"/>
                <w:lang w:val="en-US" w:eastAsia="zh-CN" w:bidi="ar-SA"/>
              </w:rPr>
            </w:pPr>
            <w:r>
              <w:rPr>
                <w:rFonts w:hint="eastAsia" w:asciiTheme="minorEastAsia" w:hAnsiTheme="minorEastAsia" w:eastAsiaTheme="minorEastAsia" w:cstheme="majorBidi"/>
                <w:b w:val="0"/>
                <w:bCs w:val="0"/>
                <w:sz w:val="20"/>
                <w:szCs w:val="20"/>
                <w:lang w:val="en-US" w:eastAsia="zh-CN"/>
              </w:rPr>
              <w:t>黎族</w:t>
            </w:r>
          </w:p>
        </w:tc>
        <w:tc>
          <w:tcPr>
            <w:tcW w:w="2841"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jc w:val="center"/>
              <w:rPr>
                <w:rFonts w:hint="eastAsia" w:cs="Times New Roman" w:asciiTheme="minorEastAsia" w:hAnsiTheme="minorEastAsia" w:eastAsiaTheme="minorEastAsia"/>
                <w:b w:val="0"/>
                <w:bCs w:val="0"/>
                <w:kern w:val="2"/>
                <w:sz w:val="20"/>
                <w:szCs w:val="20"/>
                <w:lang w:val="ru-RU" w:eastAsia="zh-CN" w:bidi="ar-SA"/>
              </w:rPr>
            </w:pPr>
            <w:r>
              <w:rPr>
                <w:rFonts w:hint="eastAsia" w:asciiTheme="minorEastAsia" w:hAnsiTheme="minorEastAsia" w:eastAsiaTheme="minorEastAsia"/>
                <w:b w:val="0"/>
                <w:bCs w:val="0"/>
                <w:sz w:val="20"/>
                <w:szCs w:val="20"/>
                <w:lang w:val="en-US" w:eastAsia="zh-CN"/>
              </w:rPr>
              <w:t>1</w:t>
            </w:r>
          </w:p>
        </w:tc>
        <w:tc>
          <w:tcPr>
            <w:tcW w:w="2841"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jc w:val="center"/>
              <w:rPr>
                <w:rFonts w:hint="default" w:cs="Times New Roman" w:asciiTheme="minorEastAsia" w:hAnsiTheme="minorEastAsia" w:eastAsiaTheme="minorEastAsia"/>
                <w:b/>
                <w:bCs/>
                <w:kern w:val="2"/>
                <w:sz w:val="20"/>
                <w:szCs w:val="20"/>
                <w:lang w:val="en-US" w:eastAsia="zh-CN" w:bidi="ar-SA"/>
              </w:rPr>
            </w:pPr>
            <w:r>
              <w:rPr>
                <w:rFonts w:hint="eastAsia" w:asciiTheme="minorEastAsia" w:hAnsiTheme="minorEastAsia" w:eastAsiaTheme="minorEastAsia"/>
                <w:sz w:val="20"/>
                <w:szCs w:val="20"/>
                <w:lang w:val="en-US" w:eastAsia="zh-CN"/>
              </w:rPr>
              <w:t>0.025</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4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jc w:val="center"/>
              <w:rPr>
                <w:rFonts w:hint="eastAsia" w:asciiTheme="minorEastAsia" w:hAnsiTheme="minorEastAsia" w:eastAsiaTheme="minorEastAsia" w:cstheme="majorBidi"/>
                <w:b w:val="0"/>
                <w:bCs/>
                <w:kern w:val="2"/>
                <w:sz w:val="20"/>
                <w:szCs w:val="20"/>
                <w:lang w:val="ru-RU" w:eastAsia="zh-CN" w:bidi="ar-SA"/>
              </w:rPr>
            </w:pPr>
            <w:r>
              <w:rPr>
                <w:rFonts w:hint="eastAsia" w:asciiTheme="minorEastAsia" w:hAnsiTheme="minorEastAsia" w:eastAsiaTheme="minorEastAsia" w:cstheme="majorBidi"/>
                <w:b w:val="0"/>
                <w:bCs/>
                <w:sz w:val="20"/>
                <w:szCs w:val="20"/>
                <w:lang w:val="ru-RU"/>
              </w:rPr>
              <w:t>壮族</w:t>
            </w:r>
          </w:p>
        </w:tc>
        <w:tc>
          <w:tcPr>
            <w:tcW w:w="2841"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jc w:val="center"/>
              <w:rPr>
                <w:rFonts w:hint="default" w:cs="Times New Roman" w:asciiTheme="minorEastAsia" w:hAnsiTheme="minorEastAsia" w:eastAsiaTheme="minorEastAsia"/>
                <w:b w:val="0"/>
                <w:bCs w:val="0"/>
                <w:kern w:val="2"/>
                <w:sz w:val="20"/>
                <w:szCs w:val="20"/>
                <w:lang w:val="en-US" w:eastAsia="zh-CN" w:bidi="ar-SA"/>
              </w:rPr>
            </w:pPr>
            <w:r>
              <w:rPr>
                <w:rFonts w:hint="eastAsia" w:asciiTheme="minorEastAsia" w:hAnsiTheme="minorEastAsia" w:eastAsiaTheme="minorEastAsia"/>
                <w:b w:val="0"/>
                <w:bCs w:val="0"/>
                <w:sz w:val="20"/>
                <w:szCs w:val="20"/>
                <w:lang w:val="en-US" w:eastAsia="zh-CN"/>
              </w:rPr>
              <w:t>1</w:t>
            </w:r>
          </w:p>
        </w:tc>
        <w:tc>
          <w:tcPr>
            <w:tcW w:w="2841"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jc w:val="center"/>
              <w:rPr>
                <w:rFonts w:hint="default" w:cs="Times New Roman" w:asciiTheme="minorEastAsia" w:hAnsiTheme="minorEastAsia" w:eastAsiaTheme="minorEastAsia"/>
                <w:b/>
                <w:bCs/>
                <w:kern w:val="2"/>
                <w:sz w:val="20"/>
                <w:szCs w:val="20"/>
                <w:lang w:val="en-US" w:eastAsia="zh-CN" w:bidi="ar-SA"/>
              </w:rPr>
            </w:pPr>
            <w:r>
              <w:rPr>
                <w:rFonts w:hint="eastAsia" w:asciiTheme="minorEastAsia" w:hAnsiTheme="minorEastAsia" w:eastAsiaTheme="minorEastAsia"/>
                <w:sz w:val="20"/>
                <w:szCs w:val="20"/>
                <w:lang w:val="en-US" w:eastAsia="zh-CN"/>
              </w:rPr>
              <w:t>0.025</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4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jc w:val="center"/>
              <w:rPr>
                <w:rFonts w:hint="eastAsia" w:asciiTheme="minorEastAsia" w:hAnsiTheme="minorEastAsia" w:eastAsiaTheme="minorEastAsia" w:cstheme="majorBidi"/>
                <w:b/>
                <w:bCs/>
                <w:kern w:val="2"/>
                <w:sz w:val="20"/>
                <w:szCs w:val="20"/>
                <w:lang w:val="en-US" w:eastAsia="zh-CN" w:bidi="ar-SA"/>
              </w:rPr>
            </w:pPr>
            <w:r>
              <w:rPr>
                <w:rFonts w:hint="eastAsia" w:asciiTheme="minorEastAsia" w:hAnsiTheme="minorEastAsia" w:eastAsiaTheme="minorEastAsia" w:cstheme="majorBidi"/>
                <w:b w:val="0"/>
                <w:bCs w:val="0"/>
                <w:sz w:val="20"/>
                <w:szCs w:val="20"/>
                <w:lang w:val="en-US" w:eastAsia="zh-CN"/>
              </w:rPr>
              <w:t>水族</w:t>
            </w:r>
          </w:p>
        </w:tc>
        <w:tc>
          <w:tcPr>
            <w:tcW w:w="2841"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jc w:val="center"/>
              <w:rPr>
                <w:rFonts w:hint="eastAsia" w:cs="Times New Roman" w:asciiTheme="minorEastAsia" w:hAnsiTheme="minorEastAsia" w:eastAsiaTheme="minorEastAsia"/>
                <w:b w:val="0"/>
                <w:bCs w:val="0"/>
                <w:kern w:val="2"/>
                <w:sz w:val="20"/>
                <w:szCs w:val="20"/>
                <w:lang w:val="ru-RU" w:eastAsia="zh-CN" w:bidi="ar-SA"/>
              </w:rPr>
            </w:pPr>
            <w:r>
              <w:rPr>
                <w:rFonts w:hint="eastAsia" w:asciiTheme="minorEastAsia" w:hAnsiTheme="minorEastAsia" w:eastAsiaTheme="minorEastAsia"/>
                <w:b w:val="0"/>
                <w:bCs w:val="0"/>
                <w:sz w:val="20"/>
                <w:szCs w:val="20"/>
                <w:lang w:val="en-US" w:eastAsia="zh-CN"/>
              </w:rPr>
              <w:t>1</w:t>
            </w:r>
          </w:p>
        </w:tc>
        <w:tc>
          <w:tcPr>
            <w:tcW w:w="2841"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jc w:val="center"/>
              <w:rPr>
                <w:rFonts w:hint="default" w:cs="Times New Roman" w:asciiTheme="minorEastAsia" w:hAnsiTheme="minorEastAsia" w:eastAsiaTheme="minorEastAsia"/>
                <w:b/>
                <w:bCs/>
                <w:kern w:val="2"/>
                <w:sz w:val="20"/>
                <w:szCs w:val="20"/>
                <w:lang w:val="en-US" w:eastAsia="zh-CN" w:bidi="ar-SA"/>
              </w:rPr>
            </w:pPr>
            <w:r>
              <w:rPr>
                <w:rFonts w:hint="eastAsia" w:asciiTheme="minorEastAsia" w:hAnsiTheme="minorEastAsia" w:eastAsiaTheme="minorEastAsia"/>
                <w:sz w:val="20"/>
                <w:szCs w:val="20"/>
                <w:lang w:val="en-US" w:eastAsia="zh-CN"/>
              </w:rPr>
              <w:t>0.025</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4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jc w:val="center"/>
              <w:rPr>
                <w:rFonts w:hint="eastAsia" w:asciiTheme="minorEastAsia" w:hAnsiTheme="minorEastAsia" w:eastAsiaTheme="minorEastAsia" w:cstheme="majorBidi"/>
                <w:b w:val="0"/>
                <w:bCs/>
                <w:kern w:val="2"/>
                <w:sz w:val="20"/>
                <w:szCs w:val="20"/>
                <w:lang w:val="ru-RU" w:eastAsia="zh-CN" w:bidi="ar-SA"/>
              </w:rPr>
            </w:pPr>
            <w:r>
              <w:rPr>
                <w:rFonts w:hint="eastAsia" w:asciiTheme="minorEastAsia" w:hAnsiTheme="minorEastAsia" w:eastAsiaTheme="minorEastAsia" w:cstheme="majorBidi"/>
                <w:b/>
                <w:bCs/>
                <w:sz w:val="20"/>
                <w:szCs w:val="20"/>
                <w:lang w:val="ru-RU"/>
              </w:rPr>
              <w:t>总计</w:t>
            </w:r>
          </w:p>
        </w:tc>
        <w:tc>
          <w:tcPr>
            <w:tcW w:w="2841"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jc w:val="center"/>
              <w:rPr>
                <w:rFonts w:hint="default" w:cs="Times New Roman" w:asciiTheme="minorEastAsia" w:hAnsiTheme="minorEastAsia" w:eastAsiaTheme="minorEastAsia"/>
                <w:b w:val="0"/>
                <w:bCs w:val="0"/>
                <w:kern w:val="2"/>
                <w:sz w:val="20"/>
                <w:szCs w:val="20"/>
                <w:lang w:val="en-US" w:eastAsia="zh-CN" w:bidi="ar-SA"/>
              </w:rPr>
            </w:pPr>
            <w:r>
              <w:rPr>
                <w:rFonts w:hint="eastAsia" w:asciiTheme="minorEastAsia" w:hAnsiTheme="minorEastAsia" w:eastAsiaTheme="minorEastAsia"/>
                <w:b/>
                <w:bCs/>
                <w:sz w:val="20"/>
                <w:szCs w:val="20"/>
                <w:lang w:val="en-US" w:eastAsia="zh-CN"/>
              </w:rPr>
              <w:t>4022</w:t>
            </w:r>
          </w:p>
        </w:tc>
        <w:tc>
          <w:tcPr>
            <w:tcW w:w="2841"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jc w:val="center"/>
              <w:rPr>
                <w:rFonts w:hint="eastAsia" w:cs="Times New Roman" w:asciiTheme="minorEastAsia" w:hAnsiTheme="minorEastAsia" w:eastAsiaTheme="minorEastAsia"/>
                <w:b/>
                <w:bCs/>
                <w:kern w:val="2"/>
                <w:sz w:val="20"/>
                <w:szCs w:val="20"/>
                <w:lang w:val="ru-RU" w:eastAsia="zh-CN" w:bidi="ar-SA"/>
              </w:rPr>
            </w:pPr>
            <w:r>
              <w:rPr>
                <w:rFonts w:hint="eastAsia" w:asciiTheme="minorEastAsia" w:hAnsiTheme="minorEastAsia" w:eastAsiaTheme="minorEastAsia"/>
                <w:b/>
                <w:bCs/>
                <w:sz w:val="20"/>
                <w:szCs w:val="20"/>
                <w:lang w:val="ru-RU"/>
              </w:rPr>
              <w:t>100.00</w:t>
            </w:r>
          </w:p>
        </w:tc>
      </w:tr>
    </w:tbl>
    <w:p>
      <w:pPr>
        <w:ind w:firstLine="0" w:firstLineChars="0"/>
        <w:jc w:val="left"/>
        <w:rPr>
          <w:rFonts w:hint="eastAsia"/>
          <w:sz w:val="28"/>
          <w:szCs w:val="28"/>
          <w:highlight w:val="none"/>
          <w:lang w:val="en-US" w:eastAsia="zh-CN"/>
        </w:rPr>
      </w:pPr>
    </w:p>
    <w:p>
      <w:pPr>
        <w:ind w:firstLine="0" w:firstLineChars="0"/>
        <w:jc w:val="left"/>
        <w:rPr>
          <w:sz w:val="28"/>
          <w:szCs w:val="28"/>
          <w:highlight w:val="none"/>
          <w:lang w:val="ru-RU"/>
        </w:rPr>
      </w:pPr>
      <w:r>
        <w:rPr>
          <w:rFonts w:hint="eastAsia"/>
          <w:sz w:val="28"/>
          <w:szCs w:val="28"/>
          <w:highlight w:val="none"/>
          <w:lang w:val="en-US" w:eastAsia="zh-CN"/>
        </w:rPr>
        <w:t>4.</w:t>
      </w:r>
      <w:r>
        <w:rPr>
          <w:rFonts w:hint="eastAsia"/>
          <w:sz w:val="28"/>
          <w:szCs w:val="28"/>
          <w:highlight w:val="none"/>
          <w:lang w:val="ru-RU"/>
        </w:rPr>
        <w:t>政治面貌结构</w:t>
      </w:r>
    </w:p>
    <w:p>
      <w:pPr>
        <w:ind w:firstLine="560" w:firstLineChars="200"/>
        <w:jc w:val="left"/>
        <w:rPr>
          <w:rFonts w:hint="eastAsia"/>
          <w:sz w:val="28"/>
          <w:szCs w:val="28"/>
          <w:lang w:val="en-US" w:eastAsia="zh-CN"/>
        </w:rPr>
      </w:pPr>
      <w:r>
        <w:rPr>
          <w:sz w:val="28"/>
          <w:szCs w:val="28"/>
          <w:lang w:val="ru-RU"/>
        </w:rPr>
        <w:t>2</w:t>
      </w:r>
      <w:r>
        <w:rPr>
          <w:rFonts w:hint="eastAsia"/>
          <w:sz w:val="28"/>
          <w:szCs w:val="28"/>
          <w:lang w:val="en-US" w:eastAsia="zh-CN"/>
        </w:rPr>
        <w:t>023</w:t>
      </w:r>
      <w:r>
        <w:rPr>
          <w:rFonts w:hint="eastAsia"/>
          <w:sz w:val="28"/>
          <w:szCs w:val="28"/>
          <w:lang w:val="ru-RU"/>
        </w:rPr>
        <w:t>届毕业生中，共青团员</w:t>
      </w:r>
      <w:r>
        <w:rPr>
          <w:rFonts w:hint="eastAsia"/>
          <w:sz w:val="28"/>
          <w:szCs w:val="28"/>
          <w:lang w:val="en-US" w:eastAsia="zh-CN"/>
        </w:rPr>
        <w:t>2236</w:t>
      </w:r>
      <w:r>
        <w:rPr>
          <w:rFonts w:hint="eastAsia"/>
          <w:sz w:val="28"/>
          <w:szCs w:val="28"/>
          <w:lang w:val="ru-RU"/>
        </w:rPr>
        <w:t>人，占比为</w:t>
      </w:r>
      <w:r>
        <w:rPr>
          <w:rFonts w:hint="eastAsia"/>
          <w:sz w:val="28"/>
          <w:szCs w:val="28"/>
          <w:lang w:val="en-US" w:eastAsia="zh-CN"/>
        </w:rPr>
        <w:t xml:space="preserve"> 55.59</w:t>
      </w:r>
      <w:r>
        <w:rPr>
          <w:sz w:val="28"/>
          <w:szCs w:val="28"/>
          <w:lang w:val="ru-RU"/>
        </w:rPr>
        <w:t>%</w:t>
      </w:r>
      <w:r>
        <w:rPr>
          <w:rFonts w:hint="eastAsia"/>
          <w:sz w:val="28"/>
          <w:szCs w:val="28"/>
          <w:lang w:val="ru-RU"/>
        </w:rPr>
        <w:t>；群众</w:t>
      </w:r>
      <w:r>
        <w:rPr>
          <w:rFonts w:hint="eastAsia"/>
          <w:sz w:val="28"/>
          <w:szCs w:val="28"/>
          <w:lang w:val="en-US" w:eastAsia="zh-CN"/>
        </w:rPr>
        <w:t>1392</w:t>
      </w:r>
      <w:r>
        <w:rPr>
          <w:rFonts w:hint="eastAsia"/>
          <w:sz w:val="28"/>
          <w:szCs w:val="28"/>
          <w:lang w:val="ru-RU"/>
        </w:rPr>
        <w:t>人，占比为</w:t>
      </w:r>
      <w:r>
        <w:rPr>
          <w:rFonts w:hint="eastAsia"/>
          <w:sz w:val="28"/>
          <w:szCs w:val="28"/>
          <w:lang w:val="en-US" w:eastAsia="zh-CN"/>
        </w:rPr>
        <w:t>34.61</w:t>
      </w:r>
      <w:r>
        <w:rPr>
          <w:sz w:val="28"/>
          <w:szCs w:val="28"/>
          <w:lang w:val="ru-RU"/>
        </w:rPr>
        <w:t>%</w:t>
      </w:r>
      <w:r>
        <w:rPr>
          <w:rFonts w:hint="eastAsia"/>
          <w:sz w:val="28"/>
          <w:szCs w:val="28"/>
          <w:lang w:val="ru-RU"/>
        </w:rPr>
        <w:t>；</w:t>
      </w:r>
      <w:r>
        <w:rPr>
          <w:rFonts w:hint="eastAsia"/>
          <w:sz w:val="28"/>
          <w:szCs w:val="28"/>
          <w:highlight w:val="none"/>
          <w:lang w:val="ru-RU"/>
        </w:rPr>
        <w:t>中共预备党员</w:t>
      </w:r>
      <w:r>
        <w:rPr>
          <w:sz w:val="28"/>
          <w:szCs w:val="28"/>
          <w:highlight w:val="none"/>
          <w:lang w:val="ru-RU"/>
        </w:rPr>
        <w:t xml:space="preserve"> </w:t>
      </w:r>
      <w:r>
        <w:rPr>
          <w:rFonts w:hint="eastAsia"/>
          <w:sz w:val="28"/>
          <w:szCs w:val="28"/>
          <w:highlight w:val="none"/>
          <w:lang w:val="en-US" w:eastAsia="zh-CN"/>
        </w:rPr>
        <w:t>9</w:t>
      </w:r>
      <w:r>
        <w:rPr>
          <w:rFonts w:hint="eastAsia"/>
          <w:sz w:val="28"/>
          <w:szCs w:val="28"/>
          <w:highlight w:val="none"/>
          <w:lang w:val="ru-RU"/>
        </w:rPr>
        <w:t>人，</w:t>
      </w:r>
      <w:r>
        <w:rPr>
          <w:rFonts w:hint="eastAsia"/>
          <w:sz w:val="28"/>
          <w:szCs w:val="28"/>
          <w:lang w:val="ru-RU"/>
        </w:rPr>
        <w:t>占比为</w:t>
      </w:r>
      <w:r>
        <w:rPr>
          <w:rFonts w:hint="eastAsia"/>
          <w:sz w:val="28"/>
          <w:szCs w:val="28"/>
          <w:lang w:val="en-US" w:eastAsia="zh-CN"/>
        </w:rPr>
        <w:t>0.22</w:t>
      </w:r>
      <w:r>
        <w:rPr>
          <w:sz w:val="28"/>
          <w:szCs w:val="28"/>
          <w:lang w:val="ru-RU"/>
        </w:rPr>
        <w:t xml:space="preserve"> %</w:t>
      </w:r>
      <w:r>
        <w:rPr>
          <w:rFonts w:hint="eastAsia"/>
          <w:sz w:val="28"/>
          <w:szCs w:val="28"/>
          <w:lang w:val="ru-RU" w:eastAsia="zh-CN"/>
        </w:rPr>
        <w:t>；</w:t>
      </w:r>
      <w:r>
        <w:rPr>
          <w:rFonts w:hint="eastAsia"/>
          <w:sz w:val="28"/>
          <w:szCs w:val="28"/>
          <w:lang w:val="en-US" w:eastAsia="zh-CN"/>
        </w:rPr>
        <w:t>中共党员385人，占比为9.58%。</w:t>
      </w:r>
    </w:p>
    <w:p>
      <w:pPr>
        <w:jc w:val="left"/>
        <w:rPr>
          <w:sz w:val="28"/>
          <w:szCs w:val="28"/>
          <w:highlight w:val="none"/>
          <w:lang w:val="ru-RU"/>
        </w:rPr>
      </w:pPr>
      <w:r>
        <w:rPr>
          <w:sz w:val="28"/>
          <w:szCs w:val="28"/>
          <w:highlight w:val="none"/>
        </w:rPr>
        <w:drawing>
          <wp:inline distT="0" distB="0" distL="0" distR="0">
            <wp:extent cx="5631180" cy="3291840"/>
            <wp:effectExtent l="4445" t="4445" r="22225" b="18415"/>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6"/>
        <w:rPr>
          <w:rFonts w:hint="default"/>
          <w:lang w:val="en-US" w:eastAsia="zh-CN"/>
        </w:rPr>
      </w:pPr>
    </w:p>
    <w:p>
      <w:pPr>
        <w:jc w:val="center"/>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图</w:t>
      </w:r>
      <w:r>
        <w:rPr>
          <w:rFonts w:asciiTheme="minorEastAsia" w:hAnsiTheme="minorEastAsia" w:eastAsiaTheme="minorEastAsia"/>
          <w:sz w:val="20"/>
          <w:szCs w:val="20"/>
          <w:highlight w:val="none"/>
        </w:rPr>
        <w:t xml:space="preserve"> 1-</w:t>
      </w:r>
      <w:r>
        <w:rPr>
          <w:rFonts w:hint="eastAsia" w:asciiTheme="minorEastAsia" w:hAnsiTheme="minorEastAsia" w:eastAsiaTheme="minorEastAsia"/>
          <w:sz w:val="20"/>
          <w:szCs w:val="20"/>
          <w:highlight w:val="none"/>
        </w:rPr>
        <w:t xml:space="preserve">2 </w:t>
      </w:r>
      <w:r>
        <w:rPr>
          <w:rFonts w:asciiTheme="minorEastAsia" w:hAnsiTheme="minorEastAsia" w:eastAsiaTheme="minorEastAsia"/>
          <w:sz w:val="20"/>
          <w:szCs w:val="20"/>
          <w:highlight w:val="none"/>
        </w:rPr>
        <w:t>20</w:t>
      </w:r>
      <w:r>
        <w:rPr>
          <w:rFonts w:hint="eastAsia" w:asciiTheme="minorEastAsia" w:hAnsiTheme="minorEastAsia" w:eastAsiaTheme="minorEastAsia"/>
          <w:sz w:val="20"/>
          <w:szCs w:val="20"/>
          <w:highlight w:val="none"/>
          <w:lang w:val="en-US" w:eastAsia="zh-CN"/>
        </w:rPr>
        <w:t>23</w:t>
      </w:r>
      <w:r>
        <w:rPr>
          <w:rFonts w:hint="eastAsia" w:asciiTheme="minorEastAsia" w:hAnsiTheme="minorEastAsia" w:eastAsiaTheme="minorEastAsia"/>
          <w:sz w:val="20"/>
          <w:szCs w:val="20"/>
          <w:highlight w:val="none"/>
        </w:rPr>
        <w:t>届毕业生政治面貌结构</w:t>
      </w:r>
    </w:p>
    <w:p>
      <w:pPr>
        <w:pStyle w:val="6"/>
        <w:rPr>
          <w:lang w:val="ru-RU"/>
        </w:rPr>
      </w:pPr>
    </w:p>
    <w:p>
      <w:pPr>
        <w:ind w:firstLine="0" w:firstLineChars="0"/>
        <w:jc w:val="left"/>
        <w:rPr>
          <w:sz w:val="28"/>
          <w:szCs w:val="28"/>
          <w:highlight w:val="none"/>
          <w:lang w:val="ru-RU"/>
        </w:rPr>
      </w:pPr>
      <w:r>
        <w:rPr>
          <w:rFonts w:hint="eastAsia"/>
          <w:sz w:val="28"/>
          <w:szCs w:val="28"/>
          <w:highlight w:val="none"/>
          <w:lang w:val="en-US" w:eastAsia="zh-CN"/>
        </w:rPr>
        <w:t>5.</w:t>
      </w:r>
      <w:r>
        <w:rPr>
          <w:rFonts w:hint="eastAsia"/>
          <w:sz w:val="28"/>
          <w:szCs w:val="28"/>
          <w:highlight w:val="none"/>
          <w:lang w:val="ru-RU"/>
        </w:rPr>
        <w:t>困难生类别结构</w:t>
      </w:r>
    </w:p>
    <w:p>
      <w:pPr>
        <w:ind w:firstLine="560" w:firstLineChars="200"/>
        <w:jc w:val="left"/>
        <w:rPr>
          <w:rFonts w:hint="eastAsia" w:eastAsia="宋体"/>
          <w:sz w:val="28"/>
          <w:szCs w:val="28"/>
          <w:lang w:val="en-US" w:eastAsia="zh-CN"/>
        </w:rPr>
      </w:pPr>
      <w:r>
        <w:rPr>
          <w:sz w:val="28"/>
          <w:szCs w:val="28"/>
          <w:lang w:val="ru-RU"/>
        </w:rPr>
        <w:t>20</w:t>
      </w:r>
      <w:r>
        <w:rPr>
          <w:rFonts w:hint="eastAsia"/>
          <w:sz w:val="28"/>
          <w:szCs w:val="28"/>
          <w:lang w:val="en-US" w:eastAsia="zh-CN"/>
        </w:rPr>
        <w:t>23</w:t>
      </w:r>
      <w:r>
        <w:rPr>
          <w:rFonts w:hint="eastAsia"/>
          <w:sz w:val="28"/>
          <w:szCs w:val="28"/>
          <w:lang w:val="ru-RU"/>
        </w:rPr>
        <w:t>届毕业生中，非困难生</w:t>
      </w:r>
      <w:r>
        <w:rPr>
          <w:rFonts w:hint="eastAsia"/>
          <w:sz w:val="28"/>
          <w:szCs w:val="28"/>
          <w:lang w:val="en-US" w:eastAsia="zh-CN"/>
        </w:rPr>
        <w:t>3509</w:t>
      </w:r>
      <w:r>
        <w:rPr>
          <w:rFonts w:hint="eastAsia"/>
          <w:sz w:val="28"/>
          <w:szCs w:val="28"/>
          <w:lang w:val="ru-RU"/>
        </w:rPr>
        <w:t>人，占比为</w:t>
      </w:r>
      <w:r>
        <w:rPr>
          <w:rFonts w:hint="eastAsia"/>
          <w:sz w:val="28"/>
          <w:szCs w:val="28"/>
          <w:lang w:val="en-US" w:eastAsia="zh-CN"/>
        </w:rPr>
        <w:t>87.25</w:t>
      </w:r>
      <w:r>
        <w:rPr>
          <w:sz w:val="28"/>
          <w:szCs w:val="28"/>
          <w:lang w:val="ru-RU"/>
        </w:rPr>
        <w:t>%</w:t>
      </w:r>
      <w:r>
        <w:rPr>
          <w:rFonts w:hint="eastAsia"/>
          <w:sz w:val="28"/>
          <w:szCs w:val="28"/>
          <w:lang w:val="ru-RU"/>
        </w:rPr>
        <w:t>；</w:t>
      </w:r>
      <w:r>
        <w:rPr>
          <w:rFonts w:hint="eastAsia"/>
          <w:sz w:val="28"/>
          <w:szCs w:val="28"/>
          <w:lang w:val="en-US" w:eastAsia="zh-CN"/>
        </w:rPr>
        <w:t>脱贫家庭（原建档立卡）414人</w:t>
      </w:r>
      <w:r>
        <w:rPr>
          <w:rFonts w:hint="eastAsia"/>
          <w:sz w:val="28"/>
          <w:szCs w:val="28"/>
          <w:lang w:val="ru-RU"/>
        </w:rPr>
        <w:t>，占比为</w:t>
      </w:r>
      <w:r>
        <w:rPr>
          <w:rFonts w:hint="eastAsia"/>
          <w:sz w:val="28"/>
          <w:szCs w:val="28"/>
          <w:lang w:val="en-US" w:eastAsia="zh-CN"/>
        </w:rPr>
        <w:t>10.29</w:t>
      </w:r>
      <w:r>
        <w:rPr>
          <w:rFonts w:hint="eastAsia"/>
          <w:sz w:val="28"/>
          <w:szCs w:val="28"/>
          <w:lang w:val="ru-RU"/>
        </w:rPr>
        <w:t>%</w:t>
      </w:r>
      <w:r>
        <w:rPr>
          <w:rFonts w:hint="eastAsia"/>
          <w:sz w:val="28"/>
          <w:szCs w:val="28"/>
          <w:lang w:val="ru-RU" w:eastAsia="zh-CN"/>
        </w:rPr>
        <w:t>；</w:t>
      </w:r>
      <w:r>
        <w:rPr>
          <w:rFonts w:hint="eastAsia"/>
          <w:sz w:val="28"/>
          <w:szCs w:val="28"/>
          <w:lang w:val="en-US" w:eastAsia="zh-CN"/>
        </w:rPr>
        <w:t>低保家庭73人</w:t>
      </w:r>
      <w:r>
        <w:rPr>
          <w:rFonts w:hint="eastAsia"/>
          <w:sz w:val="28"/>
          <w:szCs w:val="28"/>
          <w:lang w:val="ru-RU"/>
        </w:rPr>
        <w:t>，</w:t>
      </w:r>
      <w:r>
        <w:rPr>
          <w:rFonts w:hint="eastAsia"/>
          <w:sz w:val="28"/>
          <w:szCs w:val="28"/>
          <w:lang w:val="en-US" w:eastAsia="zh-CN"/>
        </w:rPr>
        <w:t>占比为1.82%；身体残疾25人，</w:t>
      </w:r>
      <w:r>
        <w:rPr>
          <w:rFonts w:hint="eastAsia"/>
          <w:sz w:val="28"/>
          <w:szCs w:val="28"/>
          <w:lang w:val="ru-RU"/>
        </w:rPr>
        <w:t>占比为</w:t>
      </w:r>
      <w:r>
        <w:rPr>
          <w:rFonts w:hint="eastAsia"/>
          <w:sz w:val="28"/>
          <w:szCs w:val="28"/>
          <w:lang w:val="en-US" w:eastAsia="zh-CN"/>
        </w:rPr>
        <w:t>0.62%；零就业家庭1</w:t>
      </w:r>
      <w:r>
        <w:rPr>
          <w:rFonts w:hint="eastAsia"/>
          <w:sz w:val="28"/>
          <w:szCs w:val="28"/>
          <w:lang w:val="ru-RU"/>
        </w:rPr>
        <w:t>人</w:t>
      </w:r>
      <w:r>
        <w:rPr>
          <w:rFonts w:hint="eastAsia"/>
          <w:sz w:val="28"/>
          <w:szCs w:val="28"/>
          <w:lang w:val="ru-RU" w:eastAsia="zh-CN"/>
        </w:rPr>
        <w:t>，</w:t>
      </w:r>
      <w:r>
        <w:rPr>
          <w:rFonts w:hint="eastAsia"/>
          <w:sz w:val="28"/>
          <w:szCs w:val="28"/>
          <w:lang w:val="ru-RU"/>
        </w:rPr>
        <w:t>占比为</w:t>
      </w:r>
      <w:r>
        <w:rPr>
          <w:rFonts w:hint="eastAsia"/>
          <w:sz w:val="28"/>
          <w:szCs w:val="28"/>
          <w:lang w:val="en-US" w:eastAsia="zh-CN"/>
        </w:rPr>
        <w:t>0.02</w:t>
      </w:r>
      <w:r>
        <w:rPr>
          <w:sz w:val="28"/>
          <w:szCs w:val="28"/>
          <w:lang w:val="ru-RU"/>
        </w:rPr>
        <w:t>%</w:t>
      </w:r>
      <w:r>
        <w:rPr>
          <w:rFonts w:hint="eastAsia"/>
          <w:sz w:val="28"/>
          <w:szCs w:val="28"/>
          <w:lang w:val="ru-RU" w:eastAsia="zh-CN"/>
        </w:rPr>
        <w:t>。</w:t>
      </w:r>
    </w:p>
    <w:p>
      <w:pPr>
        <w:jc w:val="center"/>
        <w:rPr>
          <w:rFonts w:asciiTheme="minorEastAsia" w:hAnsiTheme="minorEastAsia" w:eastAsiaTheme="minorEastAsia"/>
          <w:sz w:val="20"/>
          <w:szCs w:val="20"/>
          <w:highlight w:val="none"/>
          <w:lang w:val="ru-RU"/>
        </w:rPr>
      </w:pPr>
      <w:r>
        <w:rPr>
          <w:rFonts w:hint="eastAsia" w:asciiTheme="minorEastAsia" w:hAnsiTheme="minorEastAsia" w:eastAsiaTheme="minorEastAsia"/>
          <w:sz w:val="20"/>
          <w:szCs w:val="20"/>
          <w:highlight w:val="none"/>
          <w:lang w:val="ru-RU"/>
        </w:rPr>
        <w:t>表</w:t>
      </w:r>
      <w:r>
        <w:rPr>
          <w:rFonts w:asciiTheme="minorEastAsia" w:hAnsiTheme="minorEastAsia" w:eastAsiaTheme="minorEastAsia"/>
          <w:sz w:val="20"/>
          <w:szCs w:val="20"/>
          <w:highlight w:val="none"/>
          <w:lang w:val="ru-RU"/>
        </w:rPr>
        <w:t xml:space="preserve"> 1-</w:t>
      </w:r>
      <w:r>
        <w:rPr>
          <w:rFonts w:hint="eastAsia" w:asciiTheme="minorEastAsia" w:hAnsiTheme="minorEastAsia" w:eastAsiaTheme="minorEastAsia"/>
          <w:sz w:val="20"/>
          <w:szCs w:val="20"/>
          <w:highlight w:val="none"/>
          <w:lang w:val="ru-RU"/>
        </w:rPr>
        <w:t>4</w:t>
      </w:r>
      <w:r>
        <w:rPr>
          <w:rFonts w:asciiTheme="minorEastAsia" w:hAnsiTheme="minorEastAsia" w:eastAsiaTheme="minorEastAsia"/>
          <w:sz w:val="20"/>
          <w:szCs w:val="20"/>
          <w:highlight w:val="none"/>
          <w:lang w:val="ru-RU"/>
        </w:rPr>
        <w:t xml:space="preserve"> 20</w:t>
      </w:r>
      <w:r>
        <w:rPr>
          <w:rFonts w:hint="eastAsia" w:asciiTheme="minorEastAsia" w:hAnsiTheme="minorEastAsia" w:eastAsiaTheme="minorEastAsia"/>
          <w:sz w:val="20"/>
          <w:szCs w:val="20"/>
          <w:highlight w:val="none"/>
          <w:lang w:val="en-US" w:eastAsia="zh-CN"/>
        </w:rPr>
        <w:t>23</w:t>
      </w:r>
      <w:r>
        <w:rPr>
          <w:rFonts w:hint="eastAsia" w:asciiTheme="minorEastAsia" w:hAnsiTheme="minorEastAsia" w:eastAsiaTheme="minorEastAsia"/>
          <w:sz w:val="20"/>
          <w:szCs w:val="20"/>
          <w:highlight w:val="none"/>
          <w:lang w:val="ru-RU"/>
        </w:rPr>
        <w:t>届毕业生困难生类别结构</w:t>
      </w:r>
    </w:p>
    <w:p>
      <w:pPr>
        <w:jc w:val="right"/>
        <w:rPr>
          <w:rFonts w:asciiTheme="minorEastAsia" w:hAnsiTheme="minorEastAsia" w:eastAsiaTheme="minorEastAsia"/>
          <w:sz w:val="20"/>
          <w:szCs w:val="20"/>
          <w:highlight w:val="none"/>
          <w:lang w:val="ru-RU"/>
        </w:rPr>
      </w:pPr>
      <w:r>
        <w:rPr>
          <w:rFonts w:hint="eastAsia" w:asciiTheme="minorEastAsia" w:hAnsiTheme="minorEastAsia" w:eastAsiaTheme="minorEastAsia"/>
          <w:sz w:val="20"/>
          <w:szCs w:val="20"/>
          <w:highlight w:val="none"/>
          <w:lang w:val="ru-RU"/>
        </w:rPr>
        <w:t>单位：人数（人）、比例（%）</w:t>
      </w:r>
    </w:p>
    <w:tbl>
      <w:tblPr>
        <w:tblStyle w:val="14"/>
        <w:tblW w:w="4998" w:type="pct"/>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Layout w:type="autofit"/>
        <w:tblCellMar>
          <w:top w:w="0" w:type="dxa"/>
          <w:left w:w="108" w:type="dxa"/>
          <w:bottom w:w="0" w:type="dxa"/>
          <w:right w:w="108" w:type="dxa"/>
        </w:tblCellMar>
      </w:tblPr>
      <w:tblGrid>
        <w:gridCol w:w="2837"/>
        <w:gridCol w:w="2841"/>
        <w:gridCol w:w="2841"/>
      </w:tblGrid>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rPr>
          <w:trHeight w:val="305" w:hRule="atLeast"/>
        </w:trPr>
        <w:tc>
          <w:tcPr>
            <w:tcW w:w="1665" w:type="pct"/>
            <w:tcBorders>
              <w:top w:val="single" w:color="4BACC6" w:themeColor="accent5" w:sz="8" w:space="0"/>
              <w:left w:val="single" w:color="4BACC6" w:themeColor="accent5" w:sz="8" w:space="0"/>
              <w:bottom w:val="single" w:color="4BACC6" w:themeColor="accent5" w:sz="18" w:space="0"/>
              <w:right w:val="single" w:color="4BACC6" w:themeColor="accent5" w:sz="8" w:space="0"/>
              <w:insideH w:val="single" w:sz="18" w:space="0"/>
              <w:insideV w:val="single" w:sz="8" w:space="0"/>
            </w:tcBorders>
            <w:shd w:val="clear" w:color="auto" w:fill="4BACC6" w:themeFill="accent5"/>
          </w:tcPr>
          <w:p>
            <w:pPr>
              <w:spacing w:before="0" w:after="0" w:line="240" w:lineRule="auto"/>
              <w:jc w:val="center"/>
              <w:rPr>
                <w:rFonts w:asciiTheme="minorEastAsia" w:hAnsiTheme="minorEastAsia" w:eastAsiaTheme="minorEastAsia" w:cstheme="majorBidi"/>
                <w:b w:val="0"/>
                <w:bCs/>
                <w:sz w:val="20"/>
                <w:szCs w:val="20"/>
                <w:highlight w:val="none"/>
                <w:lang w:val="ru-RU"/>
              </w:rPr>
            </w:pPr>
            <w:r>
              <w:rPr>
                <w:rFonts w:hint="eastAsia" w:asciiTheme="minorEastAsia" w:hAnsiTheme="minorEastAsia" w:eastAsiaTheme="minorEastAsia" w:cstheme="majorBidi"/>
                <w:b w:val="0"/>
                <w:bCs/>
                <w:sz w:val="20"/>
                <w:szCs w:val="20"/>
                <w:highlight w:val="none"/>
                <w:lang w:val="ru-RU"/>
              </w:rPr>
              <w:t>困难生类别</w:t>
            </w:r>
          </w:p>
        </w:tc>
        <w:tc>
          <w:tcPr>
            <w:tcW w:w="1667" w:type="pct"/>
            <w:tcBorders>
              <w:top w:val="single" w:color="4BACC6" w:themeColor="accent5" w:sz="8" w:space="0"/>
              <w:bottom w:val="single" w:color="4BACC6" w:themeColor="accent5" w:sz="18" w:space="0"/>
              <w:right w:val="single" w:color="4BACC6" w:themeColor="accent5" w:sz="8" w:space="0"/>
              <w:insideH w:val="single" w:sz="18" w:space="0"/>
              <w:insideV w:val="single" w:sz="8" w:space="0"/>
            </w:tcBorders>
            <w:shd w:val="clear" w:color="auto" w:fill="4BACC6" w:themeFill="accent5"/>
          </w:tcPr>
          <w:p>
            <w:pPr>
              <w:spacing w:before="0" w:after="0" w:line="240" w:lineRule="auto"/>
              <w:jc w:val="center"/>
              <w:rPr>
                <w:rFonts w:asciiTheme="minorEastAsia" w:hAnsiTheme="minorEastAsia" w:eastAsiaTheme="minorEastAsia" w:cstheme="majorBidi"/>
                <w:b w:val="0"/>
                <w:bCs/>
                <w:sz w:val="20"/>
                <w:szCs w:val="20"/>
                <w:highlight w:val="none"/>
                <w:lang w:val="ru-RU"/>
              </w:rPr>
            </w:pPr>
            <w:r>
              <w:rPr>
                <w:rFonts w:hint="eastAsia" w:asciiTheme="minorEastAsia" w:hAnsiTheme="minorEastAsia" w:eastAsiaTheme="minorEastAsia" w:cstheme="majorBidi"/>
                <w:b w:val="0"/>
                <w:bCs/>
                <w:sz w:val="20"/>
                <w:szCs w:val="20"/>
                <w:highlight w:val="none"/>
                <w:lang w:val="ru-RU"/>
              </w:rPr>
              <w:t>人数</w:t>
            </w:r>
          </w:p>
        </w:tc>
        <w:tc>
          <w:tcPr>
            <w:tcW w:w="1667" w:type="pct"/>
            <w:tcBorders>
              <w:top w:val="single" w:color="4BACC6" w:themeColor="accent5" w:sz="8" w:space="0"/>
              <w:bottom w:val="single" w:color="4BACC6" w:themeColor="accent5" w:sz="18" w:space="0"/>
              <w:right w:val="single" w:color="4BACC6" w:themeColor="accent5" w:sz="8" w:space="0"/>
              <w:insideH w:val="single" w:sz="18" w:space="0"/>
              <w:insideV w:val="single" w:sz="8" w:space="0"/>
            </w:tcBorders>
            <w:shd w:val="clear" w:color="auto" w:fill="4BACC6" w:themeFill="accent5"/>
          </w:tcPr>
          <w:p>
            <w:pPr>
              <w:spacing w:before="0" w:after="0" w:line="240" w:lineRule="auto"/>
              <w:jc w:val="center"/>
              <w:rPr>
                <w:rFonts w:asciiTheme="minorEastAsia" w:hAnsiTheme="minorEastAsia" w:eastAsiaTheme="minorEastAsia" w:cstheme="majorBidi"/>
                <w:b w:val="0"/>
                <w:bCs/>
                <w:sz w:val="20"/>
                <w:szCs w:val="20"/>
                <w:highlight w:val="none"/>
                <w:lang w:val="ru-RU"/>
              </w:rPr>
            </w:pPr>
            <w:r>
              <w:rPr>
                <w:rFonts w:hint="eastAsia" w:asciiTheme="minorEastAsia" w:hAnsiTheme="minorEastAsia" w:eastAsiaTheme="minorEastAsia" w:cstheme="majorBidi"/>
                <w:b w:val="0"/>
                <w:bCs/>
                <w:sz w:val="20"/>
                <w:szCs w:val="20"/>
                <w:highlight w:val="none"/>
                <w:lang w:val="ru-RU"/>
              </w:rPr>
              <w:t>比例</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rPr>
          <w:trHeight w:val="280" w:hRule="atLeast"/>
        </w:trPr>
        <w:tc>
          <w:tcPr>
            <w:tcW w:w="1665" w:type="pct"/>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tcPr>
          <w:p>
            <w:pPr>
              <w:jc w:val="center"/>
              <w:rPr>
                <w:rFonts w:asciiTheme="minorEastAsia" w:hAnsiTheme="minorEastAsia" w:eastAsiaTheme="minorEastAsia" w:cstheme="majorBidi"/>
                <w:b w:val="0"/>
                <w:bCs/>
                <w:sz w:val="20"/>
                <w:szCs w:val="20"/>
                <w:highlight w:val="none"/>
                <w:lang w:val="ru-RU"/>
              </w:rPr>
            </w:pPr>
            <w:r>
              <w:rPr>
                <w:rFonts w:hint="eastAsia" w:asciiTheme="minorEastAsia" w:hAnsiTheme="minorEastAsia" w:eastAsiaTheme="minorEastAsia" w:cstheme="majorBidi"/>
                <w:b w:val="0"/>
                <w:bCs/>
                <w:sz w:val="20"/>
                <w:szCs w:val="20"/>
                <w:highlight w:val="none"/>
                <w:lang w:val="ru-RU"/>
              </w:rPr>
              <w:t>非困难生</w:t>
            </w:r>
          </w:p>
        </w:tc>
        <w:tc>
          <w:tcPr>
            <w:tcW w:w="1667" w:type="pct"/>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tcPr>
          <w:p>
            <w:pPr>
              <w:jc w:val="center"/>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3509</w:t>
            </w:r>
          </w:p>
        </w:tc>
        <w:tc>
          <w:tcPr>
            <w:tcW w:w="1667" w:type="pct"/>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tcPr>
          <w:p>
            <w:pPr>
              <w:jc w:val="center"/>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87.25</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rPr>
          <w:trHeight w:val="259" w:hRule="atLeast"/>
        </w:trPr>
        <w:tc>
          <w:tcPr>
            <w:tcW w:w="1665" w:type="pct"/>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tcPr>
          <w:p>
            <w:pPr>
              <w:jc w:val="center"/>
              <w:rPr>
                <w:rFonts w:hint="default" w:asciiTheme="minorEastAsia" w:hAnsiTheme="minorEastAsia" w:eastAsiaTheme="minorEastAsia" w:cstheme="majorBidi"/>
                <w:b w:val="0"/>
                <w:bCs/>
                <w:sz w:val="20"/>
                <w:szCs w:val="20"/>
                <w:highlight w:val="none"/>
                <w:lang w:val="en-US" w:eastAsia="zh-CN"/>
              </w:rPr>
            </w:pPr>
            <w:r>
              <w:rPr>
                <w:rFonts w:hint="eastAsia" w:asciiTheme="minorEastAsia" w:hAnsiTheme="minorEastAsia" w:eastAsiaTheme="minorEastAsia" w:cstheme="majorBidi"/>
                <w:b w:val="0"/>
                <w:bCs/>
                <w:sz w:val="20"/>
                <w:szCs w:val="20"/>
                <w:highlight w:val="none"/>
                <w:lang w:val="en-US" w:eastAsia="zh-CN"/>
              </w:rPr>
              <w:t>脱贫家庭（原建档立卡）</w:t>
            </w:r>
          </w:p>
        </w:tc>
        <w:tc>
          <w:tcPr>
            <w:tcW w:w="1667" w:type="pct"/>
            <w:tcBorders>
              <w:top w:val="single" w:color="4BACC6" w:themeColor="accent5" w:sz="8" w:space="0"/>
              <w:bottom w:val="single" w:color="4BACC6" w:themeColor="accent5" w:sz="8" w:space="0"/>
              <w:right w:val="single" w:color="4BACC6" w:themeColor="accent5" w:sz="8" w:space="0"/>
              <w:insideH w:val="single" w:sz="8" w:space="0"/>
              <w:insideV w:val="single" w:sz="8" w:space="0"/>
            </w:tcBorders>
          </w:tcPr>
          <w:p>
            <w:pPr>
              <w:jc w:val="center"/>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414</w:t>
            </w:r>
          </w:p>
        </w:tc>
        <w:tc>
          <w:tcPr>
            <w:tcW w:w="1667" w:type="pct"/>
            <w:tcBorders>
              <w:top w:val="single" w:color="4BACC6" w:themeColor="accent5" w:sz="8" w:space="0"/>
              <w:bottom w:val="single" w:color="4BACC6" w:themeColor="accent5" w:sz="8" w:space="0"/>
              <w:right w:val="single" w:color="4BACC6" w:themeColor="accent5" w:sz="8" w:space="0"/>
              <w:insideH w:val="single" w:sz="8" w:space="0"/>
              <w:insideV w:val="single" w:sz="8" w:space="0"/>
            </w:tcBorders>
          </w:tcPr>
          <w:p>
            <w:pPr>
              <w:jc w:val="center"/>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10.29</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rPr>
          <w:trHeight w:val="284" w:hRule="atLeast"/>
        </w:trPr>
        <w:tc>
          <w:tcPr>
            <w:tcW w:w="1665" w:type="pct"/>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tcPr>
          <w:p>
            <w:pPr>
              <w:jc w:val="center"/>
              <w:rPr>
                <w:rFonts w:hint="default" w:asciiTheme="minorEastAsia" w:hAnsiTheme="minorEastAsia" w:eastAsiaTheme="minorEastAsia" w:cstheme="majorBidi"/>
                <w:b w:val="0"/>
                <w:bCs/>
                <w:sz w:val="20"/>
                <w:szCs w:val="20"/>
                <w:highlight w:val="none"/>
                <w:lang w:val="en-US" w:eastAsia="zh-CN"/>
              </w:rPr>
            </w:pPr>
            <w:r>
              <w:rPr>
                <w:rFonts w:hint="eastAsia" w:asciiTheme="minorEastAsia" w:hAnsiTheme="minorEastAsia" w:eastAsiaTheme="minorEastAsia" w:cstheme="majorBidi"/>
                <w:b w:val="0"/>
                <w:bCs/>
                <w:sz w:val="20"/>
                <w:szCs w:val="20"/>
                <w:highlight w:val="none"/>
                <w:lang w:val="en-US" w:eastAsia="zh-CN"/>
              </w:rPr>
              <w:t>低保家庭</w:t>
            </w:r>
          </w:p>
        </w:tc>
        <w:tc>
          <w:tcPr>
            <w:tcW w:w="1667" w:type="pct"/>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tcPr>
          <w:p>
            <w:pPr>
              <w:jc w:val="center"/>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73</w:t>
            </w:r>
          </w:p>
        </w:tc>
        <w:tc>
          <w:tcPr>
            <w:tcW w:w="1667" w:type="pct"/>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tcPr>
          <w:p>
            <w:pPr>
              <w:jc w:val="center"/>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1.82</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rPr>
          <w:trHeight w:val="293" w:hRule="atLeast"/>
        </w:trPr>
        <w:tc>
          <w:tcPr>
            <w:tcW w:w="1665" w:type="pct"/>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auto"/>
          </w:tcPr>
          <w:p>
            <w:pPr>
              <w:jc w:val="center"/>
              <w:rPr>
                <w:rFonts w:hint="default" w:asciiTheme="minorEastAsia" w:hAnsiTheme="minorEastAsia" w:eastAsiaTheme="minorEastAsia" w:cstheme="majorBidi"/>
                <w:b w:val="0"/>
                <w:bCs/>
                <w:sz w:val="20"/>
                <w:szCs w:val="20"/>
                <w:highlight w:val="none"/>
                <w:lang w:val="en-US" w:eastAsia="zh-CN"/>
              </w:rPr>
            </w:pPr>
            <w:r>
              <w:rPr>
                <w:rFonts w:hint="eastAsia" w:asciiTheme="minorEastAsia" w:hAnsiTheme="minorEastAsia" w:eastAsiaTheme="minorEastAsia" w:cstheme="majorBidi"/>
                <w:b w:val="0"/>
                <w:bCs/>
                <w:sz w:val="20"/>
                <w:szCs w:val="20"/>
                <w:highlight w:val="none"/>
                <w:lang w:val="en-US" w:eastAsia="zh-CN"/>
              </w:rPr>
              <w:t>身体残疾</w:t>
            </w:r>
          </w:p>
        </w:tc>
        <w:tc>
          <w:tcPr>
            <w:tcW w:w="1667" w:type="pct"/>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auto"/>
          </w:tcPr>
          <w:p>
            <w:pPr>
              <w:jc w:val="center"/>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25</w:t>
            </w:r>
          </w:p>
        </w:tc>
        <w:tc>
          <w:tcPr>
            <w:tcW w:w="1667" w:type="pct"/>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auto"/>
          </w:tcPr>
          <w:p>
            <w:pPr>
              <w:jc w:val="center"/>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0.62</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rPr>
          <w:trHeight w:val="267" w:hRule="atLeast"/>
        </w:trPr>
        <w:tc>
          <w:tcPr>
            <w:tcW w:w="1665" w:type="pct"/>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tcPr>
          <w:p>
            <w:pPr>
              <w:jc w:val="center"/>
              <w:rPr>
                <w:rFonts w:hint="default" w:asciiTheme="minorEastAsia" w:hAnsiTheme="minorEastAsia" w:eastAsiaTheme="minorEastAsia" w:cstheme="majorBidi"/>
                <w:b w:val="0"/>
                <w:bCs/>
                <w:sz w:val="20"/>
                <w:szCs w:val="20"/>
                <w:highlight w:val="none"/>
                <w:lang w:val="en-US" w:eastAsia="zh-CN"/>
              </w:rPr>
            </w:pPr>
            <w:r>
              <w:rPr>
                <w:rFonts w:hint="eastAsia" w:asciiTheme="minorEastAsia" w:hAnsiTheme="minorEastAsia" w:eastAsiaTheme="minorEastAsia" w:cstheme="majorBidi"/>
                <w:b w:val="0"/>
                <w:bCs/>
                <w:sz w:val="20"/>
                <w:szCs w:val="20"/>
                <w:highlight w:val="none"/>
                <w:lang w:val="en-US" w:eastAsia="zh-CN"/>
              </w:rPr>
              <w:t>零就业家庭</w:t>
            </w:r>
          </w:p>
        </w:tc>
        <w:tc>
          <w:tcPr>
            <w:tcW w:w="1667" w:type="pct"/>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tcPr>
          <w:p>
            <w:pPr>
              <w:jc w:val="center"/>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w:t>
            </w:r>
          </w:p>
        </w:tc>
        <w:tc>
          <w:tcPr>
            <w:tcW w:w="1667" w:type="pct"/>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tcPr>
          <w:p>
            <w:pPr>
              <w:jc w:val="center"/>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0.02</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rPr>
          <w:trHeight w:val="313" w:hRule="atLeast"/>
        </w:trPr>
        <w:tc>
          <w:tcPr>
            <w:tcW w:w="1665" w:type="pct"/>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FFFFFF" w:themeFill="background1"/>
            <w:vAlign w:val="top"/>
          </w:tcPr>
          <w:p>
            <w:pPr>
              <w:jc w:val="center"/>
              <w:rPr>
                <w:rFonts w:hint="eastAsia" w:asciiTheme="minorEastAsia" w:hAnsiTheme="minorEastAsia" w:eastAsiaTheme="minorEastAsia" w:cstheme="majorBidi"/>
                <w:b/>
                <w:bCs/>
                <w:kern w:val="2"/>
                <w:sz w:val="20"/>
                <w:szCs w:val="20"/>
                <w:highlight w:val="none"/>
                <w:lang w:val="ru-RU" w:eastAsia="zh-CN" w:bidi="ar-SA"/>
              </w:rPr>
            </w:pPr>
            <w:r>
              <w:rPr>
                <w:rFonts w:hint="eastAsia" w:asciiTheme="minorEastAsia" w:hAnsiTheme="minorEastAsia" w:eastAsiaTheme="minorEastAsia" w:cstheme="majorBidi"/>
                <w:b/>
                <w:bCs/>
                <w:sz w:val="20"/>
                <w:szCs w:val="20"/>
                <w:highlight w:val="none"/>
                <w:lang w:val="ru-RU"/>
              </w:rPr>
              <w:t>总计</w:t>
            </w:r>
          </w:p>
        </w:tc>
        <w:tc>
          <w:tcPr>
            <w:tcW w:w="1667" w:type="pct"/>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FFFFFF" w:themeFill="background1"/>
            <w:vAlign w:val="top"/>
          </w:tcPr>
          <w:p>
            <w:pPr>
              <w:jc w:val="center"/>
              <w:rPr>
                <w:rFonts w:hint="default" w:cs="Times New Roman" w:asciiTheme="minorEastAsia" w:hAnsiTheme="minorEastAsia" w:eastAsiaTheme="minorEastAsia"/>
                <w:b/>
                <w:bCs/>
                <w:kern w:val="2"/>
                <w:sz w:val="20"/>
                <w:szCs w:val="20"/>
                <w:highlight w:val="none"/>
                <w:lang w:val="en-US" w:eastAsia="zh-CN" w:bidi="ar-SA"/>
              </w:rPr>
            </w:pPr>
            <w:r>
              <w:rPr>
                <w:rFonts w:hint="eastAsia" w:asciiTheme="minorEastAsia" w:hAnsiTheme="minorEastAsia" w:eastAsiaTheme="minorEastAsia"/>
                <w:b/>
                <w:bCs/>
                <w:sz w:val="20"/>
                <w:szCs w:val="20"/>
                <w:highlight w:val="none"/>
                <w:lang w:val="en-US" w:eastAsia="zh-CN"/>
              </w:rPr>
              <w:t>4022</w:t>
            </w:r>
          </w:p>
        </w:tc>
        <w:tc>
          <w:tcPr>
            <w:tcW w:w="1667" w:type="pct"/>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FFFFFF" w:themeFill="background1"/>
            <w:vAlign w:val="top"/>
          </w:tcPr>
          <w:p>
            <w:pPr>
              <w:jc w:val="center"/>
              <w:rPr>
                <w:rFonts w:hint="eastAsia" w:cs="Times New Roman" w:asciiTheme="minorEastAsia" w:hAnsiTheme="minorEastAsia" w:eastAsiaTheme="minorEastAsia"/>
                <w:b/>
                <w:bCs/>
                <w:kern w:val="2"/>
                <w:sz w:val="20"/>
                <w:szCs w:val="20"/>
                <w:highlight w:val="none"/>
                <w:lang w:val="ru-RU" w:eastAsia="zh-CN" w:bidi="ar-SA"/>
              </w:rPr>
            </w:pPr>
            <w:r>
              <w:rPr>
                <w:rFonts w:hint="eastAsia" w:asciiTheme="minorEastAsia" w:hAnsiTheme="minorEastAsia" w:eastAsiaTheme="minorEastAsia"/>
                <w:b/>
                <w:bCs/>
                <w:sz w:val="20"/>
                <w:szCs w:val="20"/>
                <w:highlight w:val="none"/>
                <w:lang w:val="ru-RU"/>
              </w:rPr>
              <w:t>100.00</w:t>
            </w:r>
          </w:p>
        </w:tc>
      </w:tr>
    </w:tbl>
    <w:p>
      <w:pPr>
        <w:pStyle w:val="10"/>
        <w:ind w:left="0" w:leftChars="0" w:firstLine="0" w:firstLineChars="0"/>
        <w:rPr>
          <w:rFonts w:hint="eastAsia"/>
          <w:lang w:val="en-US" w:eastAsia="zh-CN"/>
        </w:rPr>
      </w:pPr>
    </w:p>
    <w:p>
      <w:pPr>
        <w:numPr>
          <w:ilvl w:val="0"/>
          <w:numId w:val="2"/>
        </w:numPr>
        <w:ind w:left="0" w:leftChars="0" w:firstLine="0" w:firstLineChars="0"/>
        <w:jc w:val="both"/>
        <w:rPr>
          <w:rFonts w:hint="eastAsia"/>
          <w:sz w:val="28"/>
          <w:szCs w:val="28"/>
          <w:highlight w:val="none"/>
          <w:lang w:val="en-US" w:eastAsia="zh-CN"/>
        </w:rPr>
      </w:pPr>
      <w:r>
        <w:rPr>
          <w:rFonts w:hint="eastAsia"/>
          <w:sz w:val="28"/>
          <w:szCs w:val="28"/>
          <w:highlight w:val="none"/>
          <w:lang w:val="en-US" w:eastAsia="zh-CN"/>
        </w:rPr>
        <w:t>毕业生就业类型</w:t>
      </w:r>
    </w:p>
    <w:p>
      <w:pPr>
        <w:numPr>
          <w:ilvl w:val="0"/>
          <w:numId w:val="0"/>
        </w:numPr>
        <w:ind w:leftChars="0" w:firstLine="560"/>
        <w:jc w:val="both"/>
        <w:rPr>
          <w:rFonts w:hint="eastAsia"/>
          <w:sz w:val="28"/>
          <w:szCs w:val="28"/>
          <w:highlight w:val="none"/>
          <w:lang w:val="en-US" w:eastAsia="zh-CN"/>
        </w:rPr>
      </w:pPr>
      <w:r>
        <w:rPr>
          <w:rFonts w:hint="eastAsia"/>
          <w:sz w:val="28"/>
          <w:szCs w:val="28"/>
          <w:highlight w:val="none"/>
          <w:lang w:val="en-US" w:eastAsia="zh-CN"/>
        </w:rPr>
        <w:t>我校毕业生就业类别分12种，其中已就业包括签就业协议形式就业，签劳动合同形式就业，其他录用形式就业，应征义务兵，自主创业，自由职业，专科升普通本科，出国、出境8种就业类别；未就业类别包括求职中，拟应征入伍，不就业拟升学，暂不就业（无就业意愿）4种就业类别。</w:t>
      </w:r>
    </w:p>
    <w:p>
      <w:pPr>
        <w:numPr>
          <w:ilvl w:val="0"/>
          <w:numId w:val="5"/>
        </w:numPr>
        <w:ind w:leftChars="0" w:firstLine="0"/>
        <w:jc w:val="both"/>
        <w:rPr>
          <w:rFonts w:hint="eastAsia"/>
          <w:sz w:val="28"/>
          <w:szCs w:val="28"/>
          <w:highlight w:val="none"/>
          <w:lang w:val="en-US" w:eastAsia="zh-CN"/>
        </w:rPr>
      </w:pPr>
      <w:r>
        <w:rPr>
          <w:rFonts w:hint="eastAsia"/>
          <w:sz w:val="28"/>
          <w:szCs w:val="28"/>
          <w:highlight w:val="none"/>
          <w:lang w:val="en-US" w:eastAsia="zh-CN"/>
        </w:rPr>
        <w:t>总体毕业去向落实率</w:t>
      </w:r>
    </w:p>
    <w:p>
      <w:pPr>
        <w:numPr>
          <w:ilvl w:val="0"/>
          <w:numId w:val="0"/>
        </w:numPr>
        <w:ind w:left="0" w:leftChars="0" w:firstLine="560"/>
        <w:jc w:val="both"/>
        <w:rPr>
          <w:rFonts w:hint="eastAsia" w:asciiTheme="minorEastAsia" w:hAnsiTheme="minorEastAsia" w:eastAsiaTheme="minorEastAsia"/>
          <w:sz w:val="20"/>
          <w:szCs w:val="20"/>
          <w:highlight w:val="none"/>
          <w:lang w:val="ru-RU"/>
        </w:rPr>
      </w:pPr>
      <w:r>
        <w:rPr>
          <w:rFonts w:hint="eastAsia"/>
          <w:sz w:val="28"/>
          <w:szCs w:val="28"/>
          <w:highlight w:val="none"/>
          <w:lang w:val="en-US" w:eastAsia="zh-CN"/>
        </w:rPr>
        <w:t>2023届毕业生初次毕业去向落实率为89.96%。截止2023年12月6日，2023届毕业生已落实毕业去向3845人，毕业去向落实率95.60%；未落实毕业去向为177人，未落实毕业去向率4.40% 。已落实毕业去向的毕业中就业类别位列前三的分别是：签劳动合同形式就业（2322人，占比60.39%）、其他录用形式就业（477人，占比12.41%）、签就业协议形式就业（447人，占比11.63%）。</w:t>
      </w:r>
    </w:p>
    <w:p>
      <w:pPr>
        <w:jc w:val="center"/>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ru-RU"/>
        </w:rPr>
        <w:t>表</w:t>
      </w:r>
      <w:r>
        <w:rPr>
          <w:rFonts w:asciiTheme="minorEastAsia" w:hAnsiTheme="minorEastAsia" w:eastAsiaTheme="minorEastAsia"/>
          <w:sz w:val="20"/>
          <w:szCs w:val="20"/>
          <w:highlight w:val="none"/>
          <w:lang w:val="ru-RU"/>
        </w:rPr>
        <w:t xml:space="preserve"> 1-</w:t>
      </w:r>
      <w:r>
        <w:rPr>
          <w:rFonts w:hint="eastAsia" w:asciiTheme="minorEastAsia" w:hAnsiTheme="minorEastAsia" w:eastAsiaTheme="minorEastAsia"/>
          <w:sz w:val="20"/>
          <w:szCs w:val="20"/>
          <w:highlight w:val="none"/>
          <w:lang w:val="en-US" w:eastAsia="zh-CN"/>
        </w:rPr>
        <w:t xml:space="preserve">5 </w:t>
      </w:r>
      <w:r>
        <w:rPr>
          <w:rFonts w:asciiTheme="minorEastAsia" w:hAnsiTheme="minorEastAsia" w:eastAsiaTheme="minorEastAsia"/>
          <w:sz w:val="20"/>
          <w:szCs w:val="20"/>
          <w:highlight w:val="none"/>
          <w:lang w:val="ru-RU"/>
        </w:rPr>
        <w:t xml:space="preserve"> </w:t>
      </w:r>
      <w:r>
        <w:rPr>
          <w:rFonts w:hint="eastAsia" w:asciiTheme="minorEastAsia" w:hAnsiTheme="minorEastAsia" w:eastAsiaTheme="minorEastAsia"/>
          <w:sz w:val="20"/>
          <w:szCs w:val="20"/>
          <w:highlight w:val="none"/>
          <w:lang w:val="en-US" w:eastAsia="zh-CN"/>
        </w:rPr>
        <w:t>2023届毕业生就业类别分布</w:t>
      </w:r>
    </w:p>
    <w:p>
      <w:pPr>
        <w:jc w:val="right"/>
        <w:rPr>
          <w:rFonts w:hint="eastAsia" w:asciiTheme="minorEastAsia" w:hAnsiTheme="minorEastAsia" w:eastAsiaTheme="minorEastAsia"/>
          <w:sz w:val="20"/>
          <w:szCs w:val="20"/>
          <w:highlight w:val="none"/>
          <w:lang w:val="ru-RU"/>
        </w:rPr>
      </w:pPr>
      <w:r>
        <w:rPr>
          <w:rFonts w:hint="eastAsia" w:asciiTheme="minorEastAsia" w:hAnsiTheme="minorEastAsia" w:eastAsiaTheme="minorEastAsia"/>
          <w:sz w:val="20"/>
          <w:szCs w:val="20"/>
          <w:highlight w:val="none"/>
          <w:lang w:val="ru-RU"/>
        </w:rPr>
        <w:t>单位：人数（人）、比例（%）</w:t>
      </w:r>
    </w:p>
    <w:tbl>
      <w:tblPr>
        <w:tblStyle w:val="14"/>
        <w:tblW w:w="0" w:type="auto"/>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Layout w:type="autofit"/>
        <w:tblCellMar>
          <w:top w:w="0" w:type="dxa"/>
          <w:left w:w="108" w:type="dxa"/>
          <w:bottom w:w="0" w:type="dxa"/>
          <w:right w:w="108" w:type="dxa"/>
        </w:tblCellMar>
      </w:tblPr>
      <w:tblGrid>
        <w:gridCol w:w="2840"/>
        <w:gridCol w:w="2841"/>
        <w:gridCol w:w="2841"/>
      </w:tblGrid>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Ex>
        <w:tc>
          <w:tcPr>
            <w:tcW w:w="2840" w:type="dxa"/>
            <w:tcBorders>
              <w:top w:val="single" w:color="4BACC6" w:themeColor="accent5" w:sz="8" w:space="0"/>
              <w:left w:val="single" w:color="4BACC6" w:themeColor="accent5" w:sz="8" w:space="0"/>
              <w:bottom w:val="single" w:color="4BACC6" w:themeColor="accent5" w:sz="18" w:space="0"/>
              <w:right w:val="single" w:color="4BACC6" w:themeColor="accent5" w:sz="8" w:space="0"/>
              <w:insideH w:val="single" w:sz="18" w:space="0"/>
              <w:insideV w:val="single" w:sz="8" w:space="0"/>
            </w:tcBorders>
            <w:shd w:val="clear" w:color="auto" w:fill="4BACC6" w:themeFill="accent5"/>
          </w:tcPr>
          <w:p>
            <w:pPr>
              <w:spacing w:before="0" w:after="0" w:line="240" w:lineRule="auto"/>
              <w:jc w:val="center"/>
              <w:rPr>
                <w:rFonts w:hint="default" w:asciiTheme="minorEastAsia" w:hAnsiTheme="minorEastAsia" w:eastAsiaTheme="minorEastAsia" w:cstheme="majorBidi"/>
                <w:b w:val="0"/>
                <w:bCs/>
                <w:sz w:val="20"/>
                <w:szCs w:val="20"/>
                <w:highlight w:val="none"/>
                <w:lang w:val="en-US" w:eastAsia="zh-CN"/>
              </w:rPr>
            </w:pPr>
            <w:r>
              <w:rPr>
                <w:rFonts w:hint="eastAsia" w:asciiTheme="minorEastAsia" w:hAnsiTheme="minorEastAsia" w:eastAsiaTheme="minorEastAsia" w:cstheme="majorBidi"/>
                <w:b w:val="0"/>
                <w:bCs/>
                <w:sz w:val="20"/>
                <w:szCs w:val="20"/>
                <w:highlight w:val="none"/>
                <w:lang w:val="en-US" w:eastAsia="zh-CN"/>
              </w:rPr>
              <w:t>就业类别</w:t>
            </w:r>
          </w:p>
        </w:tc>
        <w:tc>
          <w:tcPr>
            <w:tcW w:w="2841" w:type="dxa"/>
            <w:tcBorders>
              <w:top w:val="single" w:color="4BACC6" w:themeColor="accent5" w:sz="8" w:space="0"/>
              <w:bottom w:val="single" w:color="4BACC6" w:themeColor="accent5" w:sz="18" w:space="0"/>
              <w:right w:val="single" w:color="4BACC6" w:themeColor="accent5" w:sz="8" w:space="0"/>
              <w:insideH w:val="single" w:sz="18" w:space="0"/>
              <w:insideV w:val="single" w:sz="8" w:space="0"/>
            </w:tcBorders>
            <w:shd w:val="clear" w:color="auto" w:fill="4BACC6" w:themeFill="accent5"/>
          </w:tcPr>
          <w:p>
            <w:pPr>
              <w:spacing w:before="0" w:after="0" w:line="240" w:lineRule="auto"/>
              <w:jc w:val="center"/>
              <w:rPr>
                <w:rFonts w:asciiTheme="minorEastAsia" w:hAnsiTheme="minorEastAsia" w:eastAsiaTheme="minorEastAsia" w:cstheme="majorBidi"/>
                <w:b w:val="0"/>
                <w:bCs/>
                <w:sz w:val="20"/>
                <w:szCs w:val="20"/>
                <w:highlight w:val="none"/>
                <w:lang w:val="ru-RU"/>
              </w:rPr>
            </w:pPr>
            <w:r>
              <w:rPr>
                <w:rFonts w:hint="eastAsia" w:asciiTheme="minorEastAsia" w:hAnsiTheme="minorEastAsia" w:eastAsiaTheme="minorEastAsia" w:cstheme="majorBidi"/>
                <w:b w:val="0"/>
                <w:bCs/>
                <w:sz w:val="20"/>
                <w:szCs w:val="20"/>
                <w:highlight w:val="none"/>
                <w:lang w:val="en-US" w:eastAsia="zh-CN"/>
              </w:rPr>
              <w:t>毕业生</w:t>
            </w:r>
            <w:r>
              <w:rPr>
                <w:rFonts w:hint="eastAsia" w:asciiTheme="minorEastAsia" w:hAnsiTheme="minorEastAsia" w:eastAsiaTheme="minorEastAsia" w:cstheme="majorBidi"/>
                <w:b w:val="0"/>
                <w:bCs/>
                <w:sz w:val="20"/>
                <w:szCs w:val="20"/>
                <w:highlight w:val="none"/>
                <w:lang w:val="ru-RU"/>
              </w:rPr>
              <w:t>人数</w:t>
            </w:r>
          </w:p>
        </w:tc>
        <w:tc>
          <w:tcPr>
            <w:tcW w:w="2841" w:type="dxa"/>
            <w:tcBorders>
              <w:top w:val="single" w:color="4BACC6" w:themeColor="accent5" w:sz="8" w:space="0"/>
              <w:bottom w:val="single" w:color="4BACC6" w:themeColor="accent5" w:sz="18" w:space="0"/>
              <w:right w:val="single" w:color="4BACC6" w:themeColor="accent5" w:sz="8" w:space="0"/>
              <w:insideH w:val="single" w:sz="18" w:space="0"/>
              <w:insideV w:val="single" w:sz="8" w:space="0"/>
            </w:tcBorders>
            <w:shd w:val="clear" w:color="auto" w:fill="4BACC6" w:themeFill="accent5"/>
          </w:tcPr>
          <w:p>
            <w:pPr>
              <w:spacing w:before="0" w:after="0" w:line="240" w:lineRule="auto"/>
              <w:jc w:val="center"/>
              <w:rPr>
                <w:rFonts w:hint="eastAsia" w:asciiTheme="minorEastAsia" w:hAnsiTheme="minorEastAsia" w:eastAsiaTheme="minorEastAsia" w:cstheme="majorBidi"/>
                <w:b w:val="0"/>
                <w:bCs/>
                <w:sz w:val="20"/>
                <w:szCs w:val="20"/>
                <w:highlight w:val="none"/>
                <w:lang w:val="ru-RU" w:eastAsia="zh-CN"/>
              </w:rPr>
            </w:pPr>
            <w:r>
              <w:rPr>
                <w:rFonts w:hint="eastAsia" w:asciiTheme="minorEastAsia" w:hAnsiTheme="minorEastAsia" w:eastAsiaTheme="minorEastAsia" w:cstheme="majorBidi"/>
                <w:b w:val="0"/>
                <w:bCs/>
                <w:sz w:val="20"/>
                <w:szCs w:val="20"/>
                <w:highlight w:val="none"/>
                <w:lang w:val="en-US" w:eastAsia="zh-CN"/>
              </w:rPr>
              <w:t>占比</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4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default" w:asciiTheme="minorEastAsia" w:hAnsiTheme="minorEastAsia" w:eastAsiaTheme="minorEastAsia" w:cstheme="majorBidi"/>
                <w:b w:val="0"/>
                <w:bCs/>
                <w:sz w:val="20"/>
                <w:szCs w:val="20"/>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签劳动合同形式就业</w:t>
            </w:r>
          </w:p>
        </w:tc>
        <w:tc>
          <w:tcPr>
            <w:tcW w:w="2841"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2322</w:t>
            </w:r>
          </w:p>
        </w:tc>
        <w:tc>
          <w:tcPr>
            <w:tcW w:w="2841"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60.39</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4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keepNext w:val="0"/>
              <w:keepLines w:val="0"/>
              <w:widowControl/>
              <w:suppressLineNumbers w:val="0"/>
              <w:jc w:val="center"/>
              <w:textAlignment w:val="top"/>
              <w:rPr>
                <w:rFonts w:asciiTheme="minorEastAsia" w:hAnsiTheme="minorEastAsia" w:eastAsiaTheme="minorEastAsia" w:cstheme="majorBidi"/>
                <w:b w:val="0"/>
                <w:bCs/>
                <w:sz w:val="20"/>
                <w:szCs w:val="20"/>
                <w:highlight w:val="none"/>
                <w:lang w:val="ru-RU"/>
              </w:rPr>
            </w:pPr>
            <w:r>
              <w:rPr>
                <w:rFonts w:hint="eastAsia" w:ascii="宋体" w:hAnsi="宋体" w:eastAsia="宋体" w:cs="宋体"/>
                <w:i w:val="0"/>
                <w:iCs w:val="0"/>
                <w:color w:val="000000"/>
                <w:kern w:val="0"/>
                <w:sz w:val="20"/>
                <w:szCs w:val="20"/>
                <w:highlight w:val="none"/>
                <w:u w:val="none"/>
                <w:lang w:val="en-US" w:eastAsia="zh-CN" w:bidi="ar"/>
              </w:rPr>
              <w:t>其他录用形式就业</w:t>
            </w:r>
          </w:p>
        </w:tc>
        <w:tc>
          <w:tcPr>
            <w:tcW w:w="2841"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keepNext w:val="0"/>
              <w:keepLines w:val="0"/>
              <w:widowControl/>
              <w:suppressLineNumbers w:val="0"/>
              <w:jc w:val="center"/>
              <w:textAlignment w:val="top"/>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477</w:t>
            </w:r>
          </w:p>
        </w:tc>
        <w:tc>
          <w:tcPr>
            <w:tcW w:w="2841"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center"/>
          </w:tcPr>
          <w:p>
            <w:pPr>
              <w:keepNext w:val="0"/>
              <w:keepLines w:val="0"/>
              <w:widowControl/>
              <w:suppressLineNumbers w:val="0"/>
              <w:jc w:val="center"/>
              <w:textAlignment w:val="top"/>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12.41</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4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default" w:asciiTheme="minorEastAsia" w:hAnsiTheme="minorEastAsia" w:eastAsiaTheme="minorEastAsia" w:cstheme="majorBidi"/>
                <w:b w:val="0"/>
                <w:bCs/>
                <w:kern w:val="2"/>
                <w:sz w:val="20"/>
                <w:szCs w:val="20"/>
                <w:highlight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签就业协议形式就业</w:t>
            </w:r>
          </w:p>
        </w:tc>
        <w:tc>
          <w:tcPr>
            <w:tcW w:w="2841"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default" w:cs="Times New Roman" w:asciiTheme="minorEastAsia" w:hAnsiTheme="minorEastAsia" w:eastAsiaTheme="minorEastAsia"/>
                <w:kern w:val="2"/>
                <w:sz w:val="20"/>
                <w:szCs w:val="20"/>
                <w:highlight w:val="none"/>
                <w:lang w:val="en-US" w:eastAsia="zh-CN" w:bidi="ar-SA"/>
              </w:rPr>
            </w:pPr>
            <w:r>
              <w:rPr>
                <w:rFonts w:hint="eastAsia" w:asciiTheme="minorEastAsia" w:hAnsiTheme="minorEastAsia" w:eastAsiaTheme="minorEastAsia"/>
                <w:sz w:val="20"/>
                <w:szCs w:val="20"/>
                <w:highlight w:val="none"/>
                <w:lang w:val="en-US" w:eastAsia="zh-CN"/>
              </w:rPr>
              <w:t>447</w:t>
            </w:r>
          </w:p>
        </w:tc>
        <w:tc>
          <w:tcPr>
            <w:tcW w:w="2841"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11.63</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4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keepNext w:val="0"/>
              <w:keepLines w:val="0"/>
              <w:widowControl/>
              <w:suppressLineNumbers w:val="0"/>
              <w:jc w:val="center"/>
              <w:textAlignment w:val="top"/>
              <w:rPr>
                <w:rFonts w:hint="default" w:asciiTheme="minorEastAsia" w:hAnsiTheme="minorEastAsia" w:eastAsiaTheme="minorEastAsia" w:cstheme="majorBidi"/>
                <w:b w:val="0"/>
                <w:bCs/>
                <w:sz w:val="20"/>
                <w:szCs w:val="20"/>
                <w:highlight w:val="none"/>
                <w:lang w:val="en-US"/>
              </w:rPr>
            </w:pPr>
            <w:r>
              <w:rPr>
                <w:rFonts w:hint="eastAsia" w:ascii="宋体" w:hAnsi="宋体" w:cs="宋体"/>
                <w:i w:val="0"/>
                <w:iCs w:val="0"/>
                <w:color w:val="000000"/>
                <w:kern w:val="0"/>
                <w:sz w:val="20"/>
                <w:szCs w:val="20"/>
                <w:highlight w:val="none"/>
                <w:u w:val="none"/>
                <w:lang w:val="en-US" w:eastAsia="zh-CN" w:bidi="ar"/>
              </w:rPr>
              <w:t>自由职业</w:t>
            </w:r>
          </w:p>
        </w:tc>
        <w:tc>
          <w:tcPr>
            <w:tcW w:w="2841"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keepNext w:val="0"/>
              <w:keepLines w:val="0"/>
              <w:widowControl/>
              <w:suppressLineNumbers w:val="0"/>
              <w:jc w:val="center"/>
              <w:textAlignment w:val="top"/>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213</w:t>
            </w:r>
          </w:p>
        </w:tc>
        <w:tc>
          <w:tcPr>
            <w:tcW w:w="2841"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center"/>
          </w:tcPr>
          <w:p>
            <w:pPr>
              <w:keepNext w:val="0"/>
              <w:keepLines w:val="0"/>
              <w:widowControl/>
              <w:suppressLineNumbers w:val="0"/>
              <w:jc w:val="center"/>
              <w:textAlignment w:val="top"/>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5.54</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rPr>
          <w:trHeight w:val="275" w:hRule="atLeast"/>
        </w:trPr>
        <w:tc>
          <w:tcPr>
            <w:tcW w:w="284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asciiTheme="minorEastAsia" w:hAnsiTheme="minorEastAsia" w:eastAsiaTheme="minorEastAsia" w:cstheme="majorBidi"/>
                <w:b w:val="0"/>
                <w:bCs/>
                <w:sz w:val="20"/>
                <w:szCs w:val="20"/>
                <w:highlight w:val="none"/>
                <w:lang w:val="ru-RU"/>
              </w:rPr>
            </w:pPr>
            <w:r>
              <w:rPr>
                <w:rFonts w:hint="eastAsia" w:ascii="宋体" w:hAnsi="宋体" w:eastAsia="宋体" w:cs="宋体"/>
                <w:i w:val="0"/>
                <w:iCs w:val="0"/>
                <w:color w:val="000000"/>
                <w:kern w:val="0"/>
                <w:sz w:val="20"/>
                <w:szCs w:val="20"/>
                <w:highlight w:val="none"/>
                <w:u w:val="none"/>
                <w:lang w:val="en-US" w:eastAsia="zh-CN" w:bidi="ar"/>
              </w:rPr>
              <w:t>应征义务兵</w:t>
            </w:r>
          </w:p>
        </w:tc>
        <w:tc>
          <w:tcPr>
            <w:tcW w:w="2841"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193</w:t>
            </w:r>
          </w:p>
        </w:tc>
        <w:tc>
          <w:tcPr>
            <w:tcW w:w="2841"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5.02</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4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keepNext w:val="0"/>
              <w:keepLines w:val="0"/>
              <w:widowControl/>
              <w:suppressLineNumbers w:val="0"/>
              <w:jc w:val="center"/>
              <w:textAlignment w:val="top"/>
              <w:rPr>
                <w:rFonts w:asciiTheme="minorEastAsia" w:hAnsiTheme="minorEastAsia" w:eastAsiaTheme="minorEastAsia" w:cstheme="majorBidi"/>
                <w:b w:val="0"/>
                <w:bCs/>
                <w:sz w:val="20"/>
                <w:szCs w:val="20"/>
                <w:highlight w:val="none"/>
                <w:lang w:val="ru-RU"/>
              </w:rPr>
            </w:pPr>
            <w:r>
              <w:rPr>
                <w:rFonts w:hint="eastAsia" w:ascii="宋体" w:hAnsi="宋体" w:eastAsia="宋体" w:cs="宋体"/>
                <w:i w:val="0"/>
                <w:iCs w:val="0"/>
                <w:color w:val="000000"/>
                <w:kern w:val="0"/>
                <w:sz w:val="20"/>
                <w:szCs w:val="20"/>
                <w:highlight w:val="none"/>
                <w:u w:val="none"/>
                <w:lang w:val="en-US" w:eastAsia="zh-CN" w:bidi="ar"/>
              </w:rPr>
              <w:t>专科升普通本科</w:t>
            </w:r>
          </w:p>
        </w:tc>
        <w:tc>
          <w:tcPr>
            <w:tcW w:w="2841"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keepNext w:val="0"/>
              <w:keepLines w:val="0"/>
              <w:widowControl/>
              <w:suppressLineNumbers w:val="0"/>
              <w:jc w:val="center"/>
              <w:textAlignment w:val="top"/>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124</w:t>
            </w:r>
          </w:p>
        </w:tc>
        <w:tc>
          <w:tcPr>
            <w:tcW w:w="2841"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center"/>
          </w:tcPr>
          <w:p>
            <w:pPr>
              <w:keepNext w:val="0"/>
              <w:keepLines w:val="0"/>
              <w:widowControl/>
              <w:suppressLineNumbers w:val="0"/>
              <w:jc w:val="center"/>
              <w:textAlignment w:val="top"/>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3.22</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4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asciiTheme="minorEastAsia" w:hAnsiTheme="minorEastAsia" w:eastAsiaTheme="minorEastAsia" w:cstheme="majorBidi"/>
                <w:b w:val="0"/>
                <w:bCs/>
                <w:sz w:val="20"/>
                <w:szCs w:val="20"/>
                <w:highlight w:val="none"/>
                <w:lang w:val="ru-RU"/>
              </w:rPr>
            </w:pPr>
            <w:r>
              <w:rPr>
                <w:rFonts w:hint="eastAsia" w:ascii="宋体" w:hAnsi="宋体" w:eastAsia="宋体" w:cs="宋体"/>
                <w:i w:val="0"/>
                <w:iCs w:val="0"/>
                <w:color w:val="000000"/>
                <w:kern w:val="0"/>
                <w:sz w:val="20"/>
                <w:szCs w:val="20"/>
                <w:highlight w:val="none"/>
                <w:u w:val="none"/>
                <w:lang w:val="en-US" w:eastAsia="zh-CN" w:bidi="ar"/>
              </w:rPr>
              <w:t>自主创业</w:t>
            </w:r>
          </w:p>
        </w:tc>
        <w:tc>
          <w:tcPr>
            <w:tcW w:w="2841"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68</w:t>
            </w:r>
          </w:p>
        </w:tc>
        <w:tc>
          <w:tcPr>
            <w:tcW w:w="2841"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1.77</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4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FFFFFF"/>
            <w:vAlign w:val="top"/>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出国、出境</w:t>
            </w:r>
          </w:p>
        </w:tc>
        <w:tc>
          <w:tcPr>
            <w:tcW w:w="2841"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FFFFFF"/>
            <w:vAlign w:val="top"/>
          </w:tcPr>
          <w:p>
            <w:pPr>
              <w:keepNext w:val="0"/>
              <w:keepLines w:val="0"/>
              <w:widowControl/>
              <w:suppressLineNumbers w:val="0"/>
              <w:jc w:val="center"/>
              <w:textAlignment w:val="top"/>
              <w:rPr>
                <w:rFonts w:hint="default" w:ascii="宋体" w:hAnsi="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w:t>
            </w:r>
          </w:p>
        </w:tc>
        <w:tc>
          <w:tcPr>
            <w:tcW w:w="2841"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FFFFFF"/>
            <w:vAlign w:val="center"/>
          </w:tcPr>
          <w:p>
            <w:pPr>
              <w:keepNext w:val="0"/>
              <w:keepLines w:val="0"/>
              <w:widowControl/>
              <w:suppressLineNumbers w:val="0"/>
              <w:jc w:val="center"/>
              <w:textAlignment w:val="top"/>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0.03</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rPr>
          <w:trHeight w:val="90" w:hRule="atLeast"/>
        </w:trPr>
        <w:tc>
          <w:tcPr>
            <w:tcW w:w="284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cPr>
          <w:p>
            <w:pPr>
              <w:jc w:val="center"/>
              <w:rPr>
                <w:rFonts w:asciiTheme="minorEastAsia" w:hAnsiTheme="minorEastAsia" w:eastAsiaTheme="minorEastAsia" w:cstheme="majorBidi"/>
                <w:b w:val="0"/>
                <w:bCs/>
                <w:sz w:val="20"/>
                <w:szCs w:val="20"/>
                <w:highlight w:val="none"/>
                <w:lang w:val="ru-RU"/>
              </w:rPr>
            </w:pPr>
            <w:r>
              <w:rPr>
                <w:rFonts w:hint="eastAsia" w:asciiTheme="minorEastAsia" w:hAnsiTheme="minorEastAsia" w:eastAsiaTheme="minorEastAsia" w:cstheme="majorBidi"/>
                <w:b/>
                <w:bCs/>
                <w:sz w:val="20"/>
                <w:szCs w:val="20"/>
                <w:highlight w:val="none"/>
                <w:lang w:val="ru-RU"/>
              </w:rPr>
              <w:t>总计</w:t>
            </w:r>
          </w:p>
        </w:tc>
        <w:tc>
          <w:tcPr>
            <w:tcW w:w="2841"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cPr>
          <w:p>
            <w:pPr>
              <w:jc w:val="center"/>
              <w:rPr>
                <w:rFonts w:hint="default" w:asciiTheme="minorEastAsia" w:hAnsiTheme="minorEastAsia" w:eastAsiaTheme="minorEastAsia"/>
                <w:b/>
                <w:bCs/>
                <w:sz w:val="20"/>
                <w:szCs w:val="20"/>
                <w:highlight w:val="none"/>
                <w:lang w:val="en-US" w:eastAsia="zh-CN"/>
              </w:rPr>
            </w:pPr>
            <w:r>
              <w:rPr>
                <w:rFonts w:hint="eastAsia" w:asciiTheme="minorEastAsia" w:hAnsiTheme="minorEastAsia" w:eastAsiaTheme="minorEastAsia"/>
                <w:b/>
                <w:bCs/>
                <w:sz w:val="20"/>
                <w:szCs w:val="20"/>
                <w:highlight w:val="none"/>
                <w:lang w:val="en-US" w:eastAsia="zh-CN"/>
              </w:rPr>
              <w:t>3485</w:t>
            </w:r>
          </w:p>
        </w:tc>
        <w:tc>
          <w:tcPr>
            <w:tcW w:w="2841"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cPr>
          <w:p>
            <w:pPr>
              <w:jc w:val="center"/>
              <w:rPr>
                <w:rFonts w:hint="default" w:asciiTheme="minorEastAsia" w:hAnsiTheme="minorEastAsia" w:eastAsiaTheme="minorEastAsia"/>
                <w:b/>
                <w:bCs/>
                <w:sz w:val="20"/>
                <w:szCs w:val="20"/>
                <w:highlight w:val="none"/>
                <w:lang w:val="en-US" w:eastAsia="zh-CN"/>
              </w:rPr>
            </w:pPr>
            <w:r>
              <w:rPr>
                <w:rFonts w:hint="eastAsia" w:asciiTheme="minorEastAsia" w:hAnsiTheme="minorEastAsia" w:eastAsiaTheme="minorEastAsia"/>
                <w:b/>
                <w:bCs/>
                <w:sz w:val="20"/>
                <w:szCs w:val="20"/>
                <w:highlight w:val="none"/>
                <w:lang w:val="en-US" w:eastAsia="zh-CN"/>
              </w:rPr>
              <w:t>100.00</w:t>
            </w:r>
          </w:p>
        </w:tc>
      </w:tr>
    </w:tbl>
    <w:p>
      <w:pPr>
        <w:numPr>
          <w:ilvl w:val="0"/>
          <w:numId w:val="0"/>
        </w:numPr>
        <w:jc w:val="both"/>
        <w:rPr>
          <w:rFonts w:hint="eastAsia"/>
          <w:sz w:val="28"/>
          <w:szCs w:val="28"/>
          <w:highlight w:val="none"/>
          <w:lang w:val="en-US" w:eastAsia="zh-CN"/>
        </w:rPr>
      </w:pPr>
    </w:p>
    <w:p>
      <w:pPr>
        <w:numPr>
          <w:ilvl w:val="0"/>
          <w:numId w:val="5"/>
        </w:numPr>
        <w:ind w:left="0" w:leftChars="0" w:firstLine="0" w:firstLineChars="0"/>
        <w:jc w:val="both"/>
        <w:rPr>
          <w:rFonts w:hint="eastAsia"/>
          <w:sz w:val="28"/>
          <w:szCs w:val="28"/>
          <w:highlight w:val="none"/>
          <w:lang w:val="en-US" w:eastAsia="zh-CN"/>
        </w:rPr>
      </w:pPr>
      <w:r>
        <w:rPr>
          <w:rFonts w:hint="eastAsia"/>
          <w:sz w:val="28"/>
          <w:szCs w:val="28"/>
          <w:highlight w:val="none"/>
          <w:lang w:val="en-US" w:eastAsia="zh-CN"/>
        </w:rPr>
        <w:t>分专业毕业去向落实率</w:t>
      </w:r>
    </w:p>
    <w:p>
      <w:pPr>
        <w:ind w:firstLine="560" w:firstLineChars="200"/>
        <w:jc w:val="left"/>
        <w:rPr>
          <w:rFonts w:hint="default"/>
          <w:sz w:val="28"/>
          <w:szCs w:val="28"/>
          <w:highlight w:val="none"/>
          <w:lang w:val="en-US" w:eastAsia="zh-CN"/>
        </w:rPr>
      </w:pPr>
      <w:r>
        <w:rPr>
          <w:rFonts w:hint="eastAsia"/>
          <w:sz w:val="28"/>
          <w:szCs w:val="28"/>
          <w:highlight w:val="none"/>
          <w:lang w:val="en-US" w:eastAsia="zh-CN"/>
        </w:rPr>
        <w:t>2023届毕业生毕业去向落实率排名前三的二级学院为：信息技术学院</w:t>
      </w:r>
      <w:r>
        <w:rPr>
          <w:rFonts w:hint="eastAsia"/>
          <w:sz w:val="28"/>
          <w:szCs w:val="28"/>
          <w:highlight w:val="none"/>
          <w:lang w:val="ru-RU" w:eastAsia="zh-CN"/>
        </w:rPr>
        <w:t>（</w:t>
      </w:r>
      <w:r>
        <w:rPr>
          <w:rFonts w:hint="eastAsia"/>
          <w:sz w:val="28"/>
          <w:szCs w:val="28"/>
          <w:highlight w:val="none"/>
          <w:lang w:val="en-US" w:eastAsia="zh-CN"/>
        </w:rPr>
        <w:t>已落实毕业去向582</w:t>
      </w:r>
      <w:r>
        <w:rPr>
          <w:rFonts w:hint="eastAsia"/>
          <w:sz w:val="28"/>
          <w:szCs w:val="28"/>
          <w:highlight w:val="none"/>
          <w:lang w:val="ru-RU"/>
        </w:rPr>
        <w:t>人，占比</w:t>
      </w:r>
      <w:r>
        <w:rPr>
          <w:rFonts w:hint="eastAsia"/>
          <w:sz w:val="28"/>
          <w:szCs w:val="28"/>
          <w:highlight w:val="none"/>
          <w:lang w:val="en-US" w:eastAsia="zh-CN"/>
        </w:rPr>
        <w:t>97.65</w:t>
      </w:r>
      <w:r>
        <w:rPr>
          <w:sz w:val="28"/>
          <w:szCs w:val="28"/>
          <w:highlight w:val="none"/>
          <w:lang w:val="ru-RU"/>
        </w:rPr>
        <w:t>%</w:t>
      </w:r>
      <w:r>
        <w:rPr>
          <w:rFonts w:hint="eastAsia"/>
          <w:sz w:val="28"/>
          <w:szCs w:val="28"/>
          <w:highlight w:val="none"/>
          <w:lang w:val="ru-RU" w:eastAsia="zh-CN"/>
        </w:rPr>
        <w:t>）、</w:t>
      </w:r>
      <w:r>
        <w:rPr>
          <w:rFonts w:hint="eastAsia"/>
          <w:sz w:val="28"/>
          <w:szCs w:val="28"/>
          <w:highlight w:val="none"/>
          <w:lang w:val="en-US" w:eastAsia="zh-CN"/>
        </w:rPr>
        <w:t>艺术创意学院</w:t>
      </w:r>
      <w:r>
        <w:rPr>
          <w:rFonts w:hint="eastAsia"/>
          <w:sz w:val="28"/>
          <w:szCs w:val="28"/>
          <w:highlight w:val="none"/>
          <w:lang w:val="ru-RU" w:eastAsia="zh-CN"/>
        </w:rPr>
        <w:t>（</w:t>
      </w:r>
      <w:r>
        <w:rPr>
          <w:rFonts w:hint="eastAsia"/>
          <w:sz w:val="28"/>
          <w:szCs w:val="28"/>
          <w:highlight w:val="none"/>
          <w:lang w:val="en-US" w:eastAsia="zh-CN"/>
        </w:rPr>
        <w:t>已落实毕业去向688</w:t>
      </w:r>
      <w:r>
        <w:rPr>
          <w:rFonts w:hint="eastAsia"/>
          <w:sz w:val="28"/>
          <w:szCs w:val="28"/>
          <w:highlight w:val="none"/>
          <w:lang w:val="ru-RU"/>
        </w:rPr>
        <w:t>人，占比</w:t>
      </w:r>
      <w:r>
        <w:rPr>
          <w:rFonts w:hint="eastAsia"/>
          <w:sz w:val="28"/>
          <w:szCs w:val="28"/>
          <w:highlight w:val="none"/>
          <w:lang w:val="en-US" w:eastAsia="zh-CN"/>
        </w:rPr>
        <w:t>96.49</w:t>
      </w:r>
      <w:r>
        <w:rPr>
          <w:sz w:val="28"/>
          <w:szCs w:val="28"/>
          <w:highlight w:val="none"/>
          <w:lang w:val="ru-RU"/>
        </w:rPr>
        <w:t>%</w:t>
      </w:r>
      <w:r>
        <w:rPr>
          <w:rFonts w:hint="eastAsia"/>
          <w:sz w:val="28"/>
          <w:szCs w:val="28"/>
          <w:highlight w:val="none"/>
          <w:lang w:val="ru-RU" w:eastAsia="zh-CN"/>
        </w:rPr>
        <w:t>）、</w:t>
      </w:r>
      <w:r>
        <w:rPr>
          <w:rFonts w:hint="eastAsia"/>
          <w:sz w:val="28"/>
          <w:szCs w:val="28"/>
          <w:highlight w:val="none"/>
          <w:lang w:val="en-US" w:eastAsia="zh-CN"/>
        </w:rPr>
        <w:t>汽车与智能制造学院</w:t>
      </w:r>
      <w:r>
        <w:rPr>
          <w:rFonts w:hint="eastAsia"/>
          <w:sz w:val="28"/>
          <w:szCs w:val="28"/>
          <w:highlight w:val="none"/>
          <w:lang w:val="ru-RU" w:eastAsia="zh-CN"/>
        </w:rPr>
        <w:t>（</w:t>
      </w:r>
      <w:r>
        <w:rPr>
          <w:rFonts w:hint="eastAsia"/>
          <w:sz w:val="28"/>
          <w:szCs w:val="28"/>
          <w:highlight w:val="none"/>
          <w:lang w:val="en-US" w:eastAsia="zh-CN"/>
        </w:rPr>
        <w:t>已落实毕业去向342</w:t>
      </w:r>
      <w:r>
        <w:rPr>
          <w:rFonts w:hint="eastAsia"/>
          <w:sz w:val="28"/>
          <w:szCs w:val="28"/>
          <w:highlight w:val="none"/>
          <w:lang w:val="ru-RU"/>
        </w:rPr>
        <w:t>人，占比</w:t>
      </w:r>
      <w:r>
        <w:rPr>
          <w:rFonts w:hint="eastAsia"/>
          <w:sz w:val="28"/>
          <w:szCs w:val="28"/>
          <w:highlight w:val="none"/>
          <w:lang w:val="en-US" w:eastAsia="zh-CN"/>
        </w:rPr>
        <w:t>96.07</w:t>
      </w:r>
      <w:r>
        <w:rPr>
          <w:rFonts w:hint="eastAsia"/>
          <w:sz w:val="28"/>
          <w:szCs w:val="28"/>
          <w:highlight w:val="none"/>
          <w:lang w:val="ru-RU"/>
        </w:rPr>
        <w:t>%</w:t>
      </w:r>
      <w:r>
        <w:rPr>
          <w:rFonts w:hint="eastAsia"/>
          <w:sz w:val="28"/>
          <w:szCs w:val="28"/>
          <w:highlight w:val="none"/>
          <w:lang w:val="ru-RU" w:eastAsia="zh-CN"/>
        </w:rPr>
        <w:t>）</w:t>
      </w:r>
      <w:r>
        <w:rPr>
          <w:rFonts w:hint="eastAsia"/>
          <w:sz w:val="28"/>
          <w:szCs w:val="28"/>
          <w:highlight w:val="none"/>
          <w:lang w:val="ru-RU"/>
        </w:rPr>
        <w:t>。</w:t>
      </w:r>
      <w:r>
        <w:rPr>
          <w:rFonts w:hint="eastAsia"/>
          <w:sz w:val="28"/>
          <w:szCs w:val="28"/>
          <w:highlight w:val="none"/>
          <w:lang w:val="en-US" w:eastAsia="zh-CN"/>
        </w:rPr>
        <w:t>毕业生去向落实率排名前五的专业分别是：服装与服饰设计（已落实毕业去向90</w:t>
      </w:r>
      <w:r>
        <w:rPr>
          <w:rFonts w:hint="eastAsia"/>
          <w:sz w:val="28"/>
          <w:szCs w:val="28"/>
          <w:highlight w:val="none"/>
          <w:lang w:val="ru-RU"/>
        </w:rPr>
        <w:t>人</w:t>
      </w:r>
      <w:r>
        <w:rPr>
          <w:rFonts w:hint="eastAsia"/>
          <w:sz w:val="28"/>
          <w:szCs w:val="28"/>
          <w:highlight w:val="none"/>
          <w:lang w:val="en-US" w:eastAsia="zh-CN"/>
        </w:rPr>
        <w:t>）、建筑装饰工程技术</w:t>
      </w:r>
      <w:r>
        <w:rPr>
          <w:rFonts w:hint="eastAsia"/>
          <w:sz w:val="28"/>
          <w:szCs w:val="28"/>
          <w:highlight w:val="none"/>
          <w:lang w:val="ru-RU" w:eastAsia="zh-CN"/>
        </w:rPr>
        <w:t>（</w:t>
      </w:r>
      <w:r>
        <w:rPr>
          <w:rFonts w:hint="eastAsia"/>
          <w:sz w:val="28"/>
          <w:szCs w:val="28"/>
          <w:highlight w:val="none"/>
          <w:lang w:val="en-US" w:eastAsia="zh-CN"/>
        </w:rPr>
        <w:t>已落实毕业去向141</w:t>
      </w:r>
      <w:r>
        <w:rPr>
          <w:rFonts w:hint="eastAsia"/>
          <w:sz w:val="28"/>
          <w:szCs w:val="28"/>
          <w:highlight w:val="none"/>
          <w:lang w:val="ru-RU" w:eastAsia="zh-CN"/>
        </w:rPr>
        <w:t>人）、</w:t>
      </w:r>
      <w:r>
        <w:rPr>
          <w:rFonts w:hint="eastAsia"/>
          <w:sz w:val="28"/>
          <w:szCs w:val="28"/>
          <w:highlight w:val="none"/>
          <w:lang w:val="en-US" w:eastAsia="zh-CN"/>
        </w:rPr>
        <w:t>计算机应用技术</w:t>
      </w:r>
      <w:r>
        <w:rPr>
          <w:rFonts w:hint="eastAsia"/>
          <w:sz w:val="28"/>
          <w:szCs w:val="28"/>
          <w:highlight w:val="none"/>
          <w:lang w:val="ru-RU" w:eastAsia="zh-CN"/>
        </w:rPr>
        <w:t>（</w:t>
      </w:r>
      <w:r>
        <w:rPr>
          <w:rFonts w:hint="eastAsia"/>
          <w:sz w:val="28"/>
          <w:szCs w:val="28"/>
          <w:highlight w:val="none"/>
          <w:lang w:val="en-US" w:eastAsia="zh-CN"/>
        </w:rPr>
        <w:t>已落实毕业去向468</w:t>
      </w:r>
      <w:r>
        <w:rPr>
          <w:rFonts w:hint="eastAsia"/>
          <w:sz w:val="28"/>
          <w:szCs w:val="28"/>
          <w:highlight w:val="none"/>
          <w:lang w:val="ru-RU" w:eastAsia="zh-CN"/>
        </w:rPr>
        <w:t>人）、机电一体化技术（</w:t>
      </w:r>
      <w:r>
        <w:rPr>
          <w:rFonts w:hint="eastAsia"/>
          <w:sz w:val="28"/>
          <w:szCs w:val="28"/>
          <w:highlight w:val="none"/>
          <w:lang w:val="en-US" w:eastAsia="zh-CN"/>
        </w:rPr>
        <w:t>已落实毕业去向215</w:t>
      </w:r>
      <w:r>
        <w:rPr>
          <w:rFonts w:hint="eastAsia"/>
          <w:sz w:val="28"/>
          <w:szCs w:val="28"/>
          <w:highlight w:val="none"/>
          <w:lang w:val="ru-RU" w:eastAsia="zh-CN"/>
        </w:rPr>
        <w:t>人）、</w:t>
      </w:r>
      <w:r>
        <w:rPr>
          <w:rFonts w:hint="eastAsia"/>
          <w:sz w:val="28"/>
          <w:szCs w:val="28"/>
          <w:highlight w:val="none"/>
          <w:lang w:val="en-US" w:eastAsia="zh-CN"/>
        </w:rPr>
        <w:t>物联网应用技术</w:t>
      </w:r>
      <w:r>
        <w:rPr>
          <w:rFonts w:hint="eastAsia"/>
          <w:sz w:val="28"/>
          <w:szCs w:val="28"/>
          <w:highlight w:val="none"/>
          <w:lang w:val="ru-RU" w:eastAsia="zh-CN"/>
        </w:rPr>
        <w:t>（</w:t>
      </w:r>
      <w:r>
        <w:rPr>
          <w:rFonts w:hint="eastAsia"/>
          <w:sz w:val="28"/>
          <w:szCs w:val="28"/>
          <w:highlight w:val="none"/>
          <w:lang w:val="en-US" w:eastAsia="zh-CN"/>
        </w:rPr>
        <w:t>已落实毕业去向35</w:t>
      </w:r>
      <w:r>
        <w:rPr>
          <w:rFonts w:hint="eastAsia"/>
          <w:sz w:val="28"/>
          <w:szCs w:val="28"/>
          <w:highlight w:val="none"/>
          <w:lang w:val="ru-RU" w:eastAsia="zh-CN"/>
        </w:rPr>
        <w:t>人）。</w:t>
      </w:r>
    </w:p>
    <w:p>
      <w:pPr>
        <w:jc w:val="center"/>
        <w:rPr>
          <w:rFonts w:hint="default" w:asciiTheme="minorEastAsia" w:hAnsiTheme="minorEastAsia" w:eastAsiaTheme="minorEastAsia"/>
          <w:sz w:val="20"/>
          <w:szCs w:val="20"/>
          <w:highlight w:val="yellow"/>
          <w:lang w:val="en-US" w:eastAsia="zh-CN"/>
        </w:rPr>
      </w:pPr>
      <w:r>
        <w:rPr>
          <w:rFonts w:hint="eastAsia"/>
          <w:sz w:val="28"/>
          <w:szCs w:val="28"/>
          <w:highlight w:val="none"/>
          <w:lang w:val="en-US" w:eastAsia="zh-CN"/>
        </w:rPr>
        <w:t xml:space="preserve">      </w:t>
      </w:r>
      <w:r>
        <w:rPr>
          <w:rFonts w:hint="eastAsia" w:asciiTheme="minorEastAsia" w:hAnsiTheme="minorEastAsia" w:eastAsiaTheme="minorEastAsia"/>
          <w:sz w:val="20"/>
          <w:szCs w:val="20"/>
          <w:highlight w:val="none"/>
          <w:lang w:val="ru-RU"/>
        </w:rPr>
        <w:t>表</w:t>
      </w:r>
      <w:r>
        <w:rPr>
          <w:rFonts w:asciiTheme="minorEastAsia" w:hAnsiTheme="minorEastAsia" w:eastAsiaTheme="minorEastAsia"/>
          <w:sz w:val="20"/>
          <w:szCs w:val="20"/>
          <w:highlight w:val="none"/>
          <w:lang w:val="ru-RU"/>
        </w:rPr>
        <w:t xml:space="preserve"> 1-</w:t>
      </w:r>
      <w:r>
        <w:rPr>
          <w:rFonts w:hint="eastAsia" w:asciiTheme="minorEastAsia" w:hAnsiTheme="minorEastAsia" w:eastAsiaTheme="minorEastAsia"/>
          <w:sz w:val="20"/>
          <w:szCs w:val="20"/>
          <w:highlight w:val="none"/>
          <w:lang w:val="en-US" w:eastAsia="zh-CN"/>
        </w:rPr>
        <w:t xml:space="preserve">6 </w:t>
      </w:r>
      <w:r>
        <w:rPr>
          <w:rFonts w:asciiTheme="minorEastAsia" w:hAnsiTheme="minorEastAsia" w:eastAsiaTheme="minorEastAsia"/>
          <w:sz w:val="20"/>
          <w:szCs w:val="20"/>
          <w:highlight w:val="none"/>
          <w:lang w:val="ru-RU"/>
        </w:rPr>
        <w:t xml:space="preserve"> </w:t>
      </w:r>
      <w:r>
        <w:rPr>
          <w:rFonts w:hint="eastAsia" w:asciiTheme="minorEastAsia" w:hAnsiTheme="minorEastAsia" w:eastAsiaTheme="minorEastAsia"/>
          <w:sz w:val="20"/>
          <w:szCs w:val="20"/>
          <w:highlight w:val="none"/>
          <w:lang w:val="en-US" w:eastAsia="zh-CN"/>
        </w:rPr>
        <w:t>2023届毕业生分学院分专业毕业去向落实率</w:t>
      </w:r>
    </w:p>
    <w:p>
      <w:pPr>
        <w:jc w:val="right"/>
        <w:rPr>
          <w:rFonts w:hint="eastAsia" w:asciiTheme="minorEastAsia" w:hAnsiTheme="minorEastAsia" w:eastAsiaTheme="minorEastAsia"/>
          <w:sz w:val="20"/>
          <w:szCs w:val="20"/>
          <w:highlight w:val="none"/>
          <w:lang w:val="ru-RU"/>
        </w:rPr>
      </w:pPr>
      <w:r>
        <w:rPr>
          <w:rFonts w:hint="eastAsia" w:asciiTheme="minorEastAsia" w:hAnsiTheme="minorEastAsia" w:eastAsiaTheme="minorEastAsia"/>
          <w:sz w:val="20"/>
          <w:szCs w:val="20"/>
          <w:highlight w:val="none"/>
          <w:lang w:val="ru-RU"/>
        </w:rPr>
        <w:t>单位：人数（人）、比例（%）</w:t>
      </w:r>
    </w:p>
    <w:tbl>
      <w:tblPr>
        <w:tblStyle w:val="19"/>
        <w:tblW w:w="9650" w:type="dxa"/>
        <w:tblInd w:w="-42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autofit"/>
        <w:tblCellMar>
          <w:top w:w="0" w:type="dxa"/>
          <w:left w:w="108" w:type="dxa"/>
          <w:bottom w:w="0" w:type="dxa"/>
          <w:right w:w="108" w:type="dxa"/>
        </w:tblCellMar>
      </w:tblPr>
      <w:tblGrid>
        <w:gridCol w:w="2179"/>
        <w:gridCol w:w="2640"/>
        <w:gridCol w:w="910"/>
        <w:gridCol w:w="1345"/>
        <w:gridCol w:w="1358"/>
        <w:gridCol w:w="1218"/>
      </w:tblGrid>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125" w:type="dxa"/>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single" w:sz="24" w:space="0"/>
              <w:insideV w:val="single" w:sz="8" w:space="0"/>
            </w:tcBorders>
            <w:shd w:val="clear" w:color="auto" w:fill="4BACC6" w:themeFill="accent5"/>
            <w:vAlign w:val="top"/>
          </w:tcPr>
          <w:p>
            <w:pPr>
              <w:jc w:val="center"/>
              <w:rPr>
                <w:rFonts w:hint="eastAsia" w:asciiTheme="minorEastAsia" w:hAnsiTheme="minorEastAsia" w:eastAsiaTheme="minorEastAsia"/>
                <w:b/>
                <w:bCs/>
                <w:i w:val="0"/>
                <w:iCs w:val="0"/>
                <w:color w:val="FFFFFF" w:themeColor="background1"/>
                <w:sz w:val="20"/>
                <w:szCs w:val="20"/>
                <w:lang w:val="ru-RU" w:eastAsia="zh-CN"/>
                <w14:textFill>
                  <w14:solidFill>
                    <w14:schemeClr w14:val="bg1"/>
                  </w14:solidFill>
                </w14:textFill>
              </w:rPr>
            </w:pPr>
            <w:r>
              <w:rPr>
                <w:rFonts w:hint="eastAsia" w:asciiTheme="minorEastAsia" w:hAnsiTheme="minorEastAsia" w:eastAsiaTheme="minorEastAsia"/>
                <w:b/>
                <w:bCs/>
                <w:i w:val="0"/>
                <w:iCs w:val="0"/>
                <w:color w:val="FFFFFF" w:themeColor="background1"/>
                <w:sz w:val="20"/>
                <w:szCs w:val="20"/>
                <w:lang w:val="en-US" w:eastAsia="zh-CN"/>
                <w14:textFill>
                  <w14:solidFill>
                    <w14:schemeClr w14:val="bg1"/>
                  </w14:solidFill>
                </w14:textFill>
              </w:rPr>
              <w:t>二级学院</w:t>
            </w:r>
          </w:p>
        </w:tc>
        <w:tc>
          <w:tcPr>
            <w:tcW w:w="2575" w:type="dxa"/>
            <w:tcBorders>
              <w:top w:val="single" w:color="FFFFFF" w:themeColor="background1" w:sz="8" w:space="0"/>
              <w:bottom w:val="single" w:color="FFFFFF" w:themeColor="background1" w:sz="24" w:space="0"/>
              <w:right w:val="single" w:color="FFFFFF" w:themeColor="background1" w:sz="8" w:space="0"/>
              <w:insideH w:val="single" w:sz="24" w:space="0"/>
              <w:insideV w:val="single" w:sz="8" w:space="0"/>
            </w:tcBorders>
            <w:shd w:val="clear" w:color="auto" w:fill="4BACC6" w:themeFill="accent5"/>
            <w:vAlign w:val="top"/>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t>专业</w:t>
            </w:r>
          </w:p>
        </w:tc>
        <w:tc>
          <w:tcPr>
            <w:tcW w:w="888" w:type="dxa"/>
            <w:tcBorders>
              <w:top w:val="single" w:color="FFFFFF" w:themeColor="background1" w:sz="8" w:space="0"/>
              <w:bottom w:val="single" w:color="FFFFFF" w:themeColor="background1" w:sz="24" w:space="0"/>
              <w:right w:val="single" w:color="FFFFFF" w:themeColor="background1" w:sz="8" w:space="0"/>
              <w:insideH w:val="single" w:sz="24" w:space="0"/>
              <w:insideV w:val="single" w:sz="8" w:space="0"/>
            </w:tcBorders>
            <w:shd w:val="clear" w:color="auto" w:fill="4BACC6" w:themeFill="accent5"/>
            <w:vAlign w:val="top"/>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r>
              <w:rPr>
                <w:rFonts w:hint="eastAsia" w:asciiTheme="minorEastAsia" w:hAnsiTheme="minorEastAsia" w:eastAsiaTheme="minorEastAsia"/>
                <w:b/>
                <w:bCs/>
                <w:i w:val="0"/>
                <w:iCs w:val="0"/>
                <w:color w:val="FFFFFF" w:themeColor="background1"/>
                <w:sz w:val="20"/>
                <w:szCs w:val="20"/>
                <w:lang w:val="en-US" w:eastAsia="zh-CN"/>
                <w14:textFill>
                  <w14:solidFill>
                    <w14:schemeClr w14:val="bg1"/>
                  </w14:solidFill>
                </w14:textFill>
              </w:rPr>
              <w:t>毕业生</w:t>
            </w:r>
            <w: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t>人数</w:t>
            </w:r>
          </w:p>
        </w:tc>
        <w:tc>
          <w:tcPr>
            <w:tcW w:w="1312" w:type="dxa"/>
            <w:tcBorders>
              <w:top w:val="single" w:color="FFFFFF" w:themeColor="background1" w:sz="8" w:space="0"/>
              <w:bottom w:val="single" w:color="FFFFFF" w:themeColor="background1" w:sz="24" w:space="0"/>
              <w:right w:val="single" w:color="FFFFFF" w:themeColor="background1" w:sz="8" w:space="0"/>
              <w:insideH w:val="single" w:sz="24" w:space="0"/>
              <w:insideV w:val="single" w:sz="8" w:space="0"/>
            </w:tcBorders>
            <w:shd w:val="clear" w:color="auto" w:fill="4BACC6" w:themeFill="accent5"/>
            <w:vAlign w:val="top"/>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r>
              <w:rPr>
                <w:rFonts w:hint="eastAsia" w:asciiTheme="minorEastAsia" w:hAnsiTheme="minorEastAsia" w:eastAsiaTheme="minorEastAsia" w:cstheme="majorBidi"/>
                <w:b/>
                <w:bCs w:val="0"/>
                <w:color w:val="FFFFFF" w:themeColor="background1"/>
                <w:sz w:val="20"/>
                <w:szCs w:val="20"/>
                <w:highlight w:val="none"/>
                <w:lang w:val="en-US" w:eastAsia="zh-CN"/>
                <w14:textFill>
                  <w14:solidFill>
                    <w14:schemeClr w14:val="bg1"/>
                  </w14:solidFill>
                </w14:textFill>
              </w:rPr>
              <w:t>已落实毕业去向人数</w:t>
            </w:r>
          </w:p>
        </w:tc>
        <w:tc>
          <w:tcPr>
            <w:tcW w:w="1325" w:type="dxa"/>
            <w:tcBorders>
              <w:top w:val="single" w:color="FFFFFF" w:themeColor="background1" w:sz="8" w:space="0"/>
              <w:bottom w:val="single" w:color="FFFFFF" w:themeColor="background1" w:sz="24" w:space="0"/>
              <w:right w:val="single" w:color="FFFFFF" w:themeColor="background1" w:sz="8" w:space="0"/>
              <w:insideH w:val="single" w:sz="24" w:space="0"/>
              <w:insideV w:val="single" w:sz="8" w:space="0"/>
            </w:tcBorders>
            <w:shd w:val="clear" w:color="auto" w:fill="4BACC6" w:themeFill="accent5"/>
            <w:vAlign w:val="top"/>
          </w:tcPr>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r>
              <w:rPr>
                <w:rFonts w:hint="eastAsia" w:asciiTheme="minorEastAsia" w:hAnsiTheme="minorEastAsia" w:eastAsiaTheme="minorEastAsia" w:cstheme="majorBidi"/>
                <w:b/>
                <w:bCs w:val="0"/>
                <w:color w:val="FFFFFF" w:themeColor="background1"/>
                <w:sz w:val="20"/>
                <w:szCs w:val="20"/>
                <w:highlight w:val="none"/>
                <w:lang w:val="en-US" w:eastAsia="zh-CN"/>
                <w14:textFill>
                  <w14:solidFill>
                    <w14:schemeClr w14:val="bg1"/>
                  </w14:solidFill>
                </w14:textFill>
              </w:rPr>
              <w:t>未落实毕业去向人数</w:t>
            </w:r>
          </w:p>
        </w:tc>
        <w:tc>
          <w:tcPr>
            <w:tcW w:w="1188" w:type="dxa"/>
            <w:tcBorders>
              <w:top w:val="single" w:color="FFFFFF" w:themeColor="background1" w:sz="8" w:space="0"/>
              <w:bottom w:val="single" w:color="FFFFFF" w:themeColor="background1" w:sz="24" w:space="0"/>
              <w:right w:val="single" w:color="FFFFFF" w:themeColor="background1" w:sz="8" w:space="0"/>
              <w:insideH w:val="single" w:sz="24" w:space="0"/>
              <w:insideV w:val="single" w:sz="8" w:space="0"/>
            </w:tcBorders>
            <w:shd w:val="clear" w:color="auto" w:fill="4BACC6" w:themeFill="accent5"/>
            <w:vAlign w:val="top"/>
          </w:tcPr>
          <w:p>
            <w:pPr>
              <w:spacing w:before="0" w:after="0" w:line="240" w:lineRule="auto"/>
              <w:jc w:val="center"/>
              <w:rPr>
                <w:rFonts w:hint="eastAsia" w:asciiTheme="minorEastAsia" w:hAnsiTheme="minorEastAsia" w:eastAsiaTheme="minorEastAsia" w:cstheme="majorBidi"/>
                <w:b/>
                <w:bCs w:val="0"/>
                <w:color w:val="FFFFFF" w:themeColor="background1"/>
                <w:sz w:val="20"/>
                <w:szCs w:val="20"/>
                <w:highlight w:val="none"/>
                <w:lang w:val="en-US" w:eastAsia="zh-CN"/>
                <w14:textFill>
                  <w14:solidFill>
                    <w14:schemeClr w14:val="bg1"/>
                  </w14:solidFill>
                </w14:textFill>
              </w:rPr>
            </w:pPr>
            <w:r>
              <w:rPr>
                <w:rFonts w:hint="eastAsia" w:asciiTheme="minorEastAsia" w:hAnsiTheme="minorEastAsia" w:eastAsiaTheme="minorEastAsia" w:cstheme="majorBidi"/>
                <w:b/>
                <w:bCs w:val="0"/>
                <w:color w:val="FFFFFF" w:themeColor="background1"/>
                <w:sz w:val="20"/>
                <w:szCs w:val="20"/>
                <w:highlight w:val="none"/>
                <w:lang w:val="en-US" w:eastAsia="zh-CN"/>
                <w14:textFill>
                  <w14:solidFill>
                    <w14:schemeClr w14:val="bg1"/>
                  </w14:solidFill>
                </w14:textFill>
              </w:rPr>
              <w:t>毕业去向</w:t>
            </w:r>
          </w:p>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r>
              <w:rPr>
                <w:rFonts w:hint="eastAsia" w:asciiTheme="minorEastAsia" w:hAnsiTheme="minorEastAsia" w:eastAsiaTheme="minorEastAsia" w:cstheme="majorBidi"/>
                <w:b/>
                <w:bCs w:val="0"/>
                <w:color w:val="FFFFFF" w:themeColor="background1"/>
                <w:sz w:val="20"/>
                <w:szCs w:val="20"/>
                <w:highlight w:val="none"/>
                <w:lang w:val="en-US" w:eastAsia="zh-CN"/>
                <w14:textFill>
                  <w14:solidFill>
                    <w14:schemeClr w14:val="bg1"/>
                  </w14:solidFill>
                </w14:textFill>
              </w:rPr>
              <w:t>落实率</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125" w:type="dxa"/>
            <w:vMerge w:val="restart"/>
            <w:tcBorders>
              <w:left w:val="single" w:color="FFFFFF" w:themeColor="background1" w:sz="8" w:space="0"/>
              <w:right w:val="single" w:color="FFFFFF" w:themeColor="background1" w:sz="24" w:space="0"/>
              <w:insideH w:val="nil"/>
              <w:insideV w:val="single" w:sz="24" w:space="0"/>
            </w:tcBorders>
            <w:shd w:val="clear" w:color="auto" w:fill="4BACC6" w:themeFill="accent5"/>
            <w:vAlign w:val="center"/>
          </w:tcPr>
          <w:p>
            <w:pPr>
              <w:jc w:val="center"/>
              <w:rPr>
                <w:rFonts w:hint="eastAsia" w:cs="Times New Roman" w:asciiTheme="minorEastAsia" w:hAnsiTheme="minorEastAsia" w:eastAsiaTheme="minorEastAsia"/>
                <w:b/>
                <w:bCs/>
                <w:i w:val="0"/>
                <w:iCs w:val="0"/>
                <w:color w:val="FFFFFF" w:themeColor="background1"/>
                <w:kern w:val="2"/>
                <w:sz w:val="20"/>
                <w:szCs w:val="20"/>
                <w:lang w:val="ru-RU" w:eastAsia="zh-CN" w:bidi="ar-SA"/>
                <w14:textFill>
                  <w14:solidFill>
                    <w14:schemeClr w14:val="bg1"/>
                  </w14:solidFill>
                </w14:textFill>
              </w:rPr>
            </w:pPr>
            <w: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t>财会工商</w:t>
            </w:r>
            <w:r>
              <w:rPr>
                <w:rFonts w:hint="eastAsia" w:asciiTheme="minorEastAsia" w:hAnsiTheme="minorEastAsia" w:eastAsiaTheme="minorEastAsia"/>
                <w:b/>
                <w:bCs/>
                <w:i w:val="0"/>
                <w:iCs w:val="0"/>
                <w:color w:val="FFFFFF" w:themeColor="background1"/>
                <w:sz w:val="20"/>
                <w:szCs w:val="20"/>
                <w:lang w:val="en-US" w:eastAsia="zh-CN"/>
                <w14:textFill>
                  <w14:solidFill>
                    <w14:schemeClr w14:val="bg1"/>
                  </w14:solidFill>
                </w14:textFill>
              </w:rPr>
              <w:t>学院</w:t>
            </w:r>
          </w:p>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575" w:type="dxa"/>
            <w:shd w:val="clear" w:color="auto" w:fill="D2EAF0" w:themeFill="accent5" w:themeFillTint="3F"/>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ru-RU"/>
              </w:rPr>
              <w:t>会计</w:t>
            </w:r>
          </w:p>
        </w:tc>
        <w:tc>
          <w:tcPr>
            <w:tcW w:w="888" w:type="dxa"/>
            <w:shd w:val="clear" w:color="auto" w:fill="D2EAF0" w:themeFill="accent5" w:themeFillTint="3F"/>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cs="Times New Roman" w:asciiTheme="minorEastAsia" w:hAnsiTheme="minorEastAsia" w:eastAsiaTheme="minorEastAsia"/>
                <w:kern w:val="2"/>
                <w:sz w:val="20"/>
                <w:szCs w:val="20"/>
                <w:lang w:val="en-US" w:eastAsia="zh-CN" w:bidi="ar-SA"/>
              </w:rPr>
              <w:t>403</w:t>
            </w:r>
          </w:p>
        </w:tc>
        <w:tc>
          <w:tcPr>
            <w:tcW w:w="1312" w:type="dxa"/>
            <w:shd w:val="clear" w:color="auto" w:fill="D2EAF0" w:themeFill="accent5" w:themeFillTint="3F"/>
            <w:vAlign w:val="center"/>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378</w:t>
            </w:r>
          </w:p>
        </w:tc>
        <w:tc>
          <w:tcPr>
            <w:tcW w:w="1325" w:type="dxa"/>
            <w:shd w:val="clear" w:color="auto" w:fill="D2EAF0" w:themeFill="accent5" w:themeFillTint="3F"/>
            <w:vAlign w:val="center"/>
          </w:tcPr>
          <w:p>
            <w:pPr>
              <w:jc w:val="center"/>
              <w:rPr>
                <w:rFonts w:hint="eastAsia" w:asciiTheme="minorEastAsia" w:hAnsiTheme="minorEastAsia" w:eastAsiaTheme="minorEastAsia"/>
                <w:sz w:val="20"/>
                <w:szCs w:val="20"/>
                <w:lang w:val="en-US" w:eastAsia="zh-CN"/>
              </w:rPr>
            </w:pPr>
            <w:r>
              <w:rPr>
                <w:rFonts w:hint="eastAsia" w:cs="Times New Roman" w:asciiTheme="minorEastAsia" w:hAnsiTheme="minorEastAsia" w:eastAsiaTheme="minorEastAsia"/>
                <w:kern w:val="2"/>
                <w:sz w:val="20"/>
                <w:szCs w:val="20"/>
                <w:lang w:val="en-US" w:eastAsia="zh-CN" w:bidi="ar-SA"/>
              </w:rPr>
              <w:t>25</w:t>
            </w:r>
          </w:p>
        </w:tc>
        <w:tc>
          <w:tcPr>
            <w:tcW w:w="1188" w:type="dxa"/>
            <w:shd w:val="clear" w:color="auto" w:fill="D2EAF0" w:themeFill="accent5" w:themeFillTint="3F"/>
            <w:vAlign w:val="center"/>
          </w:tcPr>
          <w:p>
            <w:pPr>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93.80</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125"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center"/>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575" w:type="dxa"/>
            <w:shd w:val="clear" w:color="auto" w:fill="92CDDC" w:themeFill="accent5" w:themeFillTint="99"/>
            <w:vAlign w:val="top"/>
          </w:tcPr>
          <w:p>
            <w:pPr>
              <w:jc w:val="center"/>
              <w:rPr>
                <w:rFonts w:hint="eastAsia" w:cs="Times New Roman" w:asciiTheme="minorEastAsia" w:hAnsiTheme="minorEastAsia" w:eastAsiaTheme="minorEastAsia"/>
                <w:kern w:val="2"/>
                <w:sz w:val="20"/>
                <w:szCs w:val="20"/>
                <w:lang w:val="ru-RU" w:eastAsia="zh-CN" w:bidi="ar-SA"/>
              </w:rPr>
            </w:pPr>
            <w:r>
              <w:rPr>
                <w:rFonts w:hint="eastAsia" w:asciiTheme="minorEastAsia" w:hAnsiTheme="minorEastAsia" w:eastAsiaTheme="minorEastAsia"/>
                <w:sz w:val="20"/>
                <w:szCs w:val="20"/>
                <w:lang w:val="ru-RU"/>
              </w:rPr>
              <w:t>文秘</w:t>
            </w:r>
          </w:p>
        </w:tc>
        <w:tc>
          <w:tcPr>
            <w:tcW w:w="888" w:type="dxa"/>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cs="Times New Roman" w:asciiTheme="minorEastAsia" w:hAnsiTheme="minorEastAsia" w:eastAsiaTheme="minorEastAsia"/>
                <w:kern w:val="2"/>
                <w:sz w:val="20"/>
                <w:szCs w:val="20"/>
                <w:lang w:val="en-US" w:eastAsia="zh-CN" w:bidi="ar-SA"/>
              </w:rPr>
              <w:t>166</w:t>
            </w:r>
          </w:p>
        </w:tc>
        <w:tc>
          <w:tcPr>
            <w:tcW w:w="1312" w:type="dxa"/>
            <w:shd w:val="clear" w:color="auto" w:fill="92CDDC" w:themeFill="accent5" w:themeFillTint="99"/>
            <w:vAlign w:val="center"/>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157</w:t>
            </w:r>
          </w:p>
        </w:tc>
        <w:tc>
          <w:tcPr>
            <w:tcW w:w="1325" w:type="dxa"/>
            <w:shd w:val="clear" w:color="auto" w:fill="92CDDC" w:themeFill="accent5" w:themeFillTint="99"/>
            <w:vAlign w:val="center"/>
          </w:tcPr>
          <w:p>
            <w:pPr>
              <w:jc w:val="center"/>
              <w:rPr>
                <w:rFonts w:hint="eastAsia" w:asciiTheme="minorEastAsia" w:hAnsiTheme="minorEastAsia" w:eastAsiaTheme="minorEastAsia"/>
                <w:sz w:val="20"/>
                <w:szCs w:val="20"/>
                <w:lang w:val="en-US" w:eastAsia="zh-CN"/>
              </w:rPr>
            </w:pPr>
            <w:r>
              <w:rPr>
                <w:rFonts w:hint="eastAsia" w:cs="Times New Roman" w:asciiTheme="minorEastAsia" w:hAnsiTheme="minorEastAsia" w:eastAsiaTheme="minorEastAsia"/>
                <w:kern w:val="2"/>
                <w:sz w:val="20"/>
                <w:szCs w:val="20"/>
                <w:lang w:val="en-US" w:eastAsia="zh-CN" w:bidi="ar-SA"/>
              </w:rPr>
              <w:t>9</w:t>
            </w:r>
          </w:p>
        </w:tc>
        <w:tc>
          <w:tcPr>
            <w:tcW w:w="1188" w:type="dxa"/>
            <w:shd w:val="clear" w:color="auto" w:fill="92CDDC" w:themeFill="accent5" w:themeFillTint="99"/>
            <w:vAlign w:val="center"/>
          </w:tcPr>
          <w:p>
            <w:pPr>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94.58</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125"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top"/>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575"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ru-RU"/>
              </w:rPr>
              <w:t>旅游管理</w:t>
            </w:r>
          </w:p>
        </w:tc>
        <w:tc>
          <w:tcPr>
            <w:tcW w:w="888"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cs="Times New Roman" w:asciiTheme="minorEastAsia" w:hAnsiTheme="minorEastAsia" w:eastAsiaTheme="minorEastAsia"/>
                <w:kern w:val="2"/>
                <w:sz w:val="20"/>
                <w:szCs w:val="20"/>
                <w:lang w:val="en-US" w:eastAsia="zh-CN" w:bidi="ar-SA"/>
              </w:rPr>
              <w:t>118</w:t>
            </w:r>
          </w:p>
        </w:tc>
        <w:tc>
          <w:tcPr>
            <w:tcW w:w="131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center"/>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111</w:t>
            </w:r>
          </w:p>
        </w:tc>
        <w:tc>
          <w:tcPr>
            <w:tcW w:w="1325"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center"/>
          </w:tcPr>
          <w:p>
            <w:pPr>
              <w:jc w:val="center"/>
              <w:rPr>
                <w:rFonts w:hint="eastAsia" w:asciiTheme="minorEastAsia" w:hAnsiTheme="minorEastAsia" w:eastAsiaTheme="minorEastAsia"/>
                <w:sz w:val="20"/>
                <w:szCs w:val="20"/>
                <w:lang w:val="en-US" w:eastAsia="zh-CN"/>
              </w:rPr>
            </w:pPr>
            <w:r>
              <w:rPr>
                <w:rFonts w:hint="eastAsia" w:cs="Times New Roman" w:asciiTheme="minorEastAsia" w:hAnsiTheme="minorEastAsia" w:eastAsiaTheme="minorEastAsia"/>
                <w:kern w:val="2"/>
                <w:sz w:val="20"/>
                <w:szCs w:val="20"/>
                <w:lang w:val="en-US" w:eastAsia="zh-CN" w:bidi="ar-SA"/>
              </w:rPr>
              <w:t>7</w:t>
            </w:r>
          </w:p>
        </w:tc>
        <w:tc>
          <w:tcPr>
            <w:tcW w:w="1188"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center"/>
          </w:tcPr>
          <w:p>
            <w:pPr>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94.07</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125"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top"/>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575" w:type="dxa"/>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ru-RU"/>
              </w:rPr>
              <w:t>金融管理</w:t>
            </w:r>
          </w:p>
        </w:tc>
        <w:tc>
          <w:tcPr>
            <w:tcW w:w="888" w:type="dxa"/>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cs="Times New Roman" w:asciiTheme="minorEastAsia" w:hAnsiTheme="minorEastAsia" w:eastAsiaTheme="minorEastAsia"/>
                <w:kern w:val="2"/>
                <w:sz w:val="20"/>
                <w:szCs w:val="20"/>
                <w:lang w:val="en-US" w:eastAsia="zh-CN" w:bidi="ar-SA"/>
              </w:rPr>
              <w:t>58</w:t>
            </w:r>
          </w:p>
        </w:tc>
        <w:tc>
          <w:tcPr>
            <w:tcW w:w="1312" w:type="dxa"/>
            <w:shd w:val="clear" w:color="auto" w:fill="92CDDC" w:themeFill="accent5" w:themeFillTint="99"/>
            <w:vAlign w:val="center"/>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55</w:t>
            </w:r>
          </w:p>
        </w:tc>
        <w:tc>
          <w:tcPr>
            <w:tcW w:w="1325" w:type="dxa"/>
            <w:shd w:val="clear" w:color="auto" w:fill="92CDDC" w:themeFill="accent5" w:themeFillTint="99"/>
            <w:vAlign w:val="center"/>
          </w:tcPr>
          <w:p>
            <w:pPr>
              <w:jc w:val="center"/>
              <w:rPr>
                <w:rFonts w:hint="eastAsia" w:asciiTheme="minorEastAsia" w:hAnsiTheme="minorEastAsia" w:eastAsiaTheme="minorEastAsia"/>
                <w:sz w:val="20"/>
                <w:szCs w:val="20"/>
                <w:lang w:val="en-US" w:eastAsia="zh-CN"/>
              </w:rPr>
            </w:pPr>
            <w:r>
              <w:rPr>
                <w:rFonts w:hint="eastAsia" w:cs="Times New Roman" w:asciiTheme="minorEastAsia" w:hAnsiTheme="minorEastAsia" w:eastAsiaTheme="minorEastAsia"/>
                <w:kern w:val="2"/>
                <w:sz w:val="20"/>
                <w:szCs w:val="20"/>
                <w:lang w:val="en-US" w:eastAsia="zh-CN" w:bidi="ar-SA"/>
              </w:rPr>
              <w:t>3</w:t>
            </w:r>
          </w:p>
        </w:tc>
        <w:tc>
          <w:tcPr>
            <w:tcW w:w="1188" w:type="dxa"/>
            <w:shd w:val="clear" w:color="auto" w:fill="92CDDC" w:themeFill="accent5" w:themeFillTint="99"/>
            <w:vAlign w:val="center"/>
          </w:tcPr>
          <w:p>
            <w:pPr>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94.83</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125" w:type="dxa"/>
            <w:vMerge w:val="continue"/>
            <w:tcBorders>
              <w:left w:val="single" w:color="FFFFFF" w:themeColor="background1" w:sz="8" w:space="0"/>
              <w:bottom w:val="nil"/>
              <w:right w:val="single" w:color="FFFFFF" w:themeColor="background1" w:sz="24" w:space="0"/>
              <w:insideH w:val="nil"/>
              <w:insideV w:val="single" w:sz="24" w:space="0"/>
            </w:tcBorders>
            <w:shd w:val="clear" w:color="auto" w:fill="4BACC6" w:themeFill="accent5"/>
            <w:vAlign w:val="top"/>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575" w:type="dxa"/>
            <w:shd w:val="clear" w:color="auto" w:fill="D2EAF0" w:themeFill="accent5" w:themeFillTint="3F"/>
            <w:vAlign w:val="top"/>
          </w:tcPr>
          <w:p>
            <w:pPr>
              <w:jc w:val="right"/>
              <w:rPr>
                <w:rFonts w:hint="default" w:cs="Times New Roman" w:asciiTheme="minorEastAsia" w:hAnsiTheme="minorEastAsia" w:eastAsiaTheme="minorEastAsia"/>
                <w:b/>
                <w:bCs/>
                <w:color w:val="1F497D" w:themeColor="text2"/>
                <w:kern w:val="2"/>
                <w:sz w:val="20"/>
                <w:szCs w:val="20"/>
                <w:highlight w:val="none"/>
                <w:lang w:val="en-US" w:eastAsia="zh-CN" w:bidi="ar-SA"/>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财会工商学院 汇总</w:t>
            </w:r>
          </w:p>
        </w:tc>
        <w:tc>
          <w:tcPr>
            <w:tcW w:w="888" w:type="dxa"/>
            <w:shd w:val="clear" w:color="auto" w:fill="D2EAF0" w:themeFill="accent5" w:themeFillTint="3F"/>
            <w:vAlign w:val="top"/>
          </w:tcPr>
          <w:p>
            <w:pPr>
              <w:jc w:val="right"/>
              <w:rPr>
                <w:rFonts w:hint="default" w:cs="Times New Roman" w:asciiTheme="minorEastAsia" w:hAnsiTheme="minorEastAsia" w:eastAsiaTheme="minorEastAsia"/>
                <w:b/>
                <w:bCs/>
                <w:color w:val="1F497D" w:themeColor="text2"/>
                <w:kern w:val="2"/>
                <w:sz w:val="20"/>
                <w:szCs w:val="20"/>
                <w:highlight w:val="none"/>
                <w:lang w:val="en-US" w:eastAsia="zh-CN" w:bidi="ar-SA"/>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745</w:t>
            </w:r>
          </w:p>
        </w:tc>
        <w:tc>
          <w:tcPr>
            <w:tcW w:w="1312" w:type="dxa"/>
            <w:shd w:val="clear" w:color="auto" w:fill="D2EAF0" w:themeFill="accent5" w:themeFillTint="3F"/>
            <w:vAlign w:val="center"/>
          </w:tcPr>
          <w:p>
            <w:pPr>
              <w:jc w:val="right"/>
              <w:rPr>
                <w:rFonts w:hint="default" w:cs="Times New Roman" w:asciiTheme="minorEastAsia" w:hAnsiTheme="minorEastAsia" w:eastAsiaTheme="minorEastAsia"/>
                <w:kern w:val="2"/>
                <w:sz w:val="20"/>
                <w:szCs w:val="20"/>
                <w:highlight w:val="none"/>
                <w:lang w:val="en-US" w:eastAsia="zh-CN" w:bidi="ar-SA"/>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701</w:t>
            </w:r>
          </w:p>
        </w:tc>
        <w:tc>
          <w:tcPr>
            <w:tcW w:w="1325" w:type="dxa"/>
            <w:shd w:val="clear" w:color="auto" w:fill="D2EAF0" w:themeFill="accent5" w:themeFillTint="3F"/>
            <w:vAlign w:val="center"/>
          </w:tcPr>
          <w:p>
            <w:pPr>
              <w:jc w:val="right"/>
              <w:rPr>
                <w:rFonts w:hint="eastAsia" w:asciiTheme="minorEastAsia" w:hAnsiTheme="minorEastAsia" w:eastAsiaTheme="minorEastAsia"/>
                <w:b/>
                <w:bCs/>
                <w:color w:val="1F497D" w:themeColor="text2"/>
                <w:sz w:val="20"/>
                <w:szCs w:val="20"/>
                <w:highlight w:val="none"/>
                <w:lang w:val="en-US" w:eastAsia="zh-CN"/>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44</w:t>
            </w:r>
          </w:p>
        </w:tc>
        <w:tc>
          <w:tcPr>
            <w:tcW w:w="1188" w:type="dxa"/>
            <w:shd w:val="clear" w:color="auto" w:fill="D2EAF0" w:themeFill="accent5" w:themeFillTint="3F"/>
            <w:vAlign w:val="center"/>
          </w:tcPr>
          <w:p>
            <w:pPr>
              <w:jc w:val="right"/>
              <w:rPr>
                <w:rFonts w:hint="eastAsia" w:asciiTheme="minorEastAsia" w:hAnsiTheme="minorEastAsia" w:eastAsiaTheme="minorEastAsia"/>
                <w:b/>
                <w:bCs/>
                <w:color w:val="1F497D" w:themeColor="text2"/>
                <w:sz w:val="20"/>
                <w:szCs w:val="20"/>
                <w:highlight w:val="none"/>
                <w:lang w:val="en-US" w:eastAsia="zh-CN"/>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94.09</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125" w:type="dxa"/>
            <w:vMerge w:val="restart"/>
            <w:tcBorders>
              <w:top w:val="single" w:color="FFFFFF" w:themeColor="background1" w:sz="8" w:space="0"/>
              <w:left w:val="single" w:color="FFFFFF" w:themeColor="background1" w:sz="8" w:space="0"/>
              <w:right w:val="single" w:color="FFFFFF" w:themeColor="background1" w:sz="24" w:space="0"/>
              <w:insideH w:val="single" w:sz="8" w:space="0"/>
              <w:insideV w:val="single" w:sz="24" w:space="0"/>
            </w:tcBorders>
            <w:shd w:val="clear" w:color="auto" w:fill="4BACC6" w:themeFill="accent5"/>
            <w:vAlign w:val="center"/>
          </w:tcPr>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p>
            <w:pPr>
              <w:jc w:val="center"/>
              <w:rPr>
                <w:rFonts w:cs="Times New Roman" w:asciiTheme="minorEastAsia" w:hAnsiTheme="minorEastAsia" w:eastAsiaTheme="minorEastAsia"/>
                <w:b/>
                <w:bCs/>
                <w:i w:val="0"/>
                <w:iCs w:val="0"/>
                <w:color w:val="FFFFFF" w:themeColor="background1"/>
                <w:kern w:val="2"/>
                <w:sz w:val="20"/>
                <w:szCs w:val="20"/>
                <w:lang w:val="ru-RU" w:eastAsia="zh-CN" w:bidi="ar-SA"/>
                <w14:textFill>
                  <w14:solidFill>
                    <w14:schemeClr w14:val="bg1"/>
                  </w14:solidFill>
                </w14:textFill>
              </w:rPr>
            </w:pPr>
            <w: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t>电梯工程学院</w:t>
            </w:r>
          </w:p>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575"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eastAsia" w:cs="Times New Roman" w:asciiTheme="minorEastAsia" w:hAnsiTheme="minorEastAsia" w:eastAsiaTheme="minorEastAsia"/>
                <w:kern w:val="2"/>
                <w:sz w:val="20"/>
                <w:szCs w:val="20"/>
                <w:lang w:val="ru-RU" w:eastAsia="zh-CN" w:bidi="ar-SA"/>
              </w:rPr>
            </w:pPr>
            <w:r>
              <w:rPr>
                <w:rFonts w:hint="eastAsia" w:asciiTheme="minorEastAsia" w:hAnsiTheme="minorEastAsia" w:eastAsiaTheme="minorEastAsia"/>
                <w:sz w:val="20"/>
                <w:szCs w:val="20"/>
                <w:lang w:val="ru-RU"/>
              </w:rPr>
              <w:t>电梯工程技术</w:t>
            </w:r>
          </w:p>
        </w:tc>
        <w:tc>
          <w:tcPr>
            <w:tcW w:w="888"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252</w:t>
            </w:r>
          </w:p>
        </w:tc>
        <w:tc>
          <w:tcPr>
            <w:tcW w:w="131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center"/>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236</w:t>
            </w:r>
          </w:p>
        </w:tc>
        <w:tc>
          <w:tcPr>
            <w:tcW w:w="1325"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center"/>
          </w:tcPr>
          <w:p>
            <w:pPr>
              <w:jc w:val="center"/>
              <w:rPr>
                <w:rFonts w:hint="eastAsia" w:asciiTheme="minorEastAsia" w:hAnsiTheme="minorEastAsia" w:eastAsiaTheme="minorEastAsia"/>
                <w:sz w:val="20"/>
                <w:szCs w:val="20"/>
                <w:lang w:val="en-US" w:eastAsia="zh-CN"/>
              </w:rPr>
            </w:pPr>
            <w:r>
              <w:rPr>
                <w:rFonts w:hint="eastAsia" w:cs="Times New Roman" w:asciiTheme="minorEastAsia" w:hAnsiTheme="minorEastAsia" w:eastAsiaTheme="minorEastAsia"/>
                <w:kern w:val="2"/>
                <w:sz w:val="20"/>
                <w:szCs w:val="20"/>
                <w:lang w:val="en-US" w:eastAsia="zh-CN" w:bidi="ar-SA"/>
              </w:rPr>
              <w:t>16</w:t>
            </w:r>
          </w:p>
        </w:tc>
        <w:tc>
          <w:tcPr>
            <w:tcW w:w="1188"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center"/>
          </w:tcPr>
          <w:p>
            <w:pPr>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93.65</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rPr>
          <w:trHeight w:val="252" w:hRule="atLeast"/>
        </w:trPr>
        <w:tc>
          <w:tcPr>
            <w:tcW w:w="2125" w:type="dxa"/>
            <w:vMerge w:val="continue"/>
            <w:tcBorders>
              <w:left w:val="single" w:color="FFFFFF" w:themeColor="background1" w:sz="8" w:space="0"/>
              <w:right w:val="single" w:color="FFFFFF" w:themeColor="background1" w:sz="24" w:space="0"/>
              <w:insideH w:val="single" w:sz="8" w:space="0"/>
              <w:insideV w:val="single" w:sz="24" w:space="0"/>
            </w:tcBorders>
            <w:shd w:val="clear" w:color="auto" w:fill="4BACC6" w:themeFill="accent5"/>
            <w:vAlign w:val="center"/>
          </w:tcPr>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575"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eastAsia" w:cs="Times New Roman" w:asciiTheme="minorEastAsia" w:hAnsiTheme="minorEastAsia" w:eastAsiaTheme="minorEastAsia"/>
                <w:kern w:val="2"/>
                <w:sz w:val="20"/>
                <w:szCs w:val="20"/>
                <w:lang w:val="ru-RU" w:eastAsia="zh-CN" w:bidi="ar-SA"/>
              </w:rPr>
            </w:pPr>
            <w:r>
              <w:rPr>
                <w:rFonts w:hint="eastAsia" w:asciiTheme="minorEastAsia" w:hAnsiTheme="minorEastAsia" w:eastAsiaTheme="minorEastAsia"/>
                <w:sz w:val="20"/>
                <w:szCs w:val="20"/>
                <w:lang w:val="ru-RU"/>
              </w:rPr>
              <w:t>机电一体化技术</w:t>
            </w:r>
          </w:p>
        </w:tc>
        <w:tc>
          <w:tcPr>
            <w:tcW w:w="888"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221</w:t>
            </w:r>
          </w:p>
        </w:tc>
        <w:tc>
          <w:tcPr>
            <w:tcW w:w="131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center"/>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215</w:t>
            </w:r>
          </w:p>
        </w:tc>
        <w:tc>
          <w:tcPr>
            <w:tcW w:w="1325"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center"/>
          </w:tcPr>
          <w:p>
            <w:pPr>
              <w:jc w:val="center"/>
              <w:rPr>
                <w:rFonts w:hint="eastAsia" w:asciiTheme="minorEastAsia" w:hAnsiTheme="minorEastAsia" w:eastAsiaTheme="minorEastAsia"/>
                <w:sz w:val="20"/>
                <w:szCs w:val="20"/>
                <w:lang w:val="en-US" w:eastAsia="zh-CN"/>
              </w:rPr>
            </w:pPr>
            <w:r>
              <w:rPr>
                <w:rFonts w:hint="eastAsia" w:cs="Times New Roman" w:asciiTheme="minorEastAsia" w:hAnsiTheme="minorEastAsia" w:eastAsiaTheme="minorEastAsia"/>
                <w:kern w:val="2"/>
                <w:sz w:val="20"/>
                <w:szCs w:val="20"/>
                <w:lang w:val="en-US" w:eastAsia="zh-CN" w:bidi="ar-SA"/>
              </w:rPr>
              <w:t>6</w:t>
            </w:r>
          </w:p>
        </w:tc>
        <w:tc>
          <w:tcPr>
            <w:tcW w:w="1188"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center"/>
          </w:tcPr>
          <w:p>
            <w:pPr>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97.29</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125" w:type="dxa"/>
            <w:vMerge w:val="continue"/>
            <w:tcBorders>
              <w:left w:val="single" w:color="FFFFFF" w:themeColor="background1" w:sz="8" w:space="0"/>
              <w:right w:val="single" w:color="FFFFFF" w:themeColor="background1" w:sz="24" w:space="0"/>
              <w:insideH w:val="single" w:sz="8" w:space="0"/>
              <w:insideV w:val="single" w:sz="24" w:space="0"/>
            </w:tcBorders>
            <w:shd w:val="clear" w:color="auto" w:fill="4BACC6" w:themeFill="accent5"/>
            <w:vAlign w:val="center"/>
          </w:tcPr>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575"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ru-RU" w:eastAsia="zh-CN" w:bidi="ar-SA"/>
              </w:rPr>
            </w:pPr>
            <w:r>
              <w:rPr>
                <w:rFonts w:hint="eastAsia" w:asciiTheme="minorEastAsia" w:hAnsiTheme="minorEastAsia" w:eastAsiaTheme="minorEastAsia"/>
                <w:sz w:val="20"/>
                <w:szCs w:val="20"/>
                <w:lang w:val="en-US" w:eastAsia="zh-CN"/>
              </w:rPr>
              <w:t>物联网应用技术</w:t>
            </w:r>
          </w:p>
        </w:tc>
        <w:tc>
          <w:tcPr>
            <w:tcW w:w="888"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36</w:t>
            </w:r>
          </w:p>
        </w:tc>
        <w:tc>
          <w:tcPr>
            <w:tcW w:w="131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center"/>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35</w:t>
            </w:r>
          </w:p>
        </w:tc>
        <w:tc>
          <w:tcPr>
            <w:tcW w:w="1325"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center"/>
          </w:tcPr>
          <w:p>
            <w:pPr>
              <w:jc w:val="center"/>
              <w:rPr>
                <w:rFonts w:hint="eastAsia" w:cs="Times New Roman" w:asciiTheme="minorEastAsia" w:hAnsiTheme="minorEastAsia" w:eastAsiaTheme="minorEastAsia"/>
                <w:kern w:val="2"/>
                <w:sz w:val="20"/>
                <w:szCs w:val="20"/>
                <w:lang w:val="en-US" w:eastAsia="zh-CN" w:bidi="ar-SA"/>
              </w:rPr>
            </w:pPr>
            <w:r>
              <w:rPr>
                <w:rFonts w:hint="eastAsia" w:cs="Times New Roman" w:asciiTheme="minorEastAsia" w:hAnsiTheme="minorEastAsia" w:eastAsiaTheme="minorEastAsia"/>
                <w:kern w:val="2"/>
                <w:sz w:val="20"/>
                <w:szCs w:val="20"/>
                <w:lang w:val="en-US" w:eastAsia="zh-CN" w:bidi="ar-SA"/>
              </w:rPr>
              <w:t>1</w:t>
            </w:r>
          </w:p>
        </w:tc>
        <w:tc>
          <w:tcPr>
            <w:tcW w:w="1188"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center"/>
          </w:tcPr>
          <w:p>
            <w:pPr>
              <w:jc w:val="center"/>
              <w:rPr>
                <w:rFonts w:hint="eastAsia"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97.22</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125" w:type="dxa"/>
            <w:vMerge w:val="continue"/>
            <w:tcBorders>
              <w:left w:val="single" w:color="FFFFFF" w:themeColor="background1" w:sz="8" w:space="0"/>
              <w:right w:val="single" w:color="FFFFFF" w:themeColor="background1" w:sz="24" w:space="0"/>
              <w:insideH w:val="single" w:sz="8" w:space="0"/>
              <w:insideV w:val="single" w:sz="24" w:space="0"/>
            </w:tcBorders>
            <w:shd w:val="clear" w:color="auto" w:fill="4BACC6" w:themeFill="accent5"/>
            <w:vAlign w:val="center"/>
          </w:tcPr>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575"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right"/>
              <w:rPr>
                <w:rFonts w:hint="default" w:cs="Times New Roman" w:asciiTheme="minorEastAsia" w:hAnsiTheme="minorEastAsia" w:eastAsiaTheme="minorEastAsia"/>
                <w:b/>
                <w:bCs/>
                <w:color w:val="1F497D" w:themeColor="text2"/>
                <w:kern w:val="2"/>
                <w:sz w:val="20"/>
                <w:szCs w:val="20"/>
                <w:highlight w:val="none"/>
                <w:lang w:val="ru-RU" w:eastAsia="zh-CN" w:bidi="ar-SA"/>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电梯工程学院 汇总</w:t>
            </w:r>
          </w:p>
        </w:tc>
        <w:tc>
          <w:tcPr>
            <w:tcW w:w="888"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right"/>
              <w:rPr>
                <w:rFonts w:hint="default" w:cs="Times New Roman" w:asciiTheme="minorEastAsia" w:hAnsiTheme="minorEastAsia" w:eastAsiaTheme="minorEastAsia"/>
                <w:b/>
                <w:bCs/>
                <w:color w:val="1F497D" w:themeColor="text2"/>
                <w:kern w:val="2"/>
                <w:sz w:val="20"/>
                <w:szCs w:val="20"/>
                <w:highlight w:val="none"/>
                <w:lang w:val="en-US" w:eastAsia="zh-CN" w:bidi="ar-SA"/>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509</w:t>
            </w:r>
          </w:p>
        </w:tc>
        <w:tc>
          <w:tcPr>
            <w:tcW w:w="131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center"/>
          </w:tcPr>
          <w:p>
            <w:pPr>
              <w:jc w:val="right"/>
              <w:rPr>
                <w:rFonts w:hint="default" w:cs="Times New Roman" w:asciiTheme="minorEastAsia" w:hAnsiTheme="minorEastAsia" w:eastAsiaTheme="minorEastAsia"/>
                <w:kern w:val="2"/>
                <w:sz w:val="20"/>
                <w:szCs w:val="20"/>
                <w:highlight w:val="none"/>
                <w:lang w:val="en-US" w:eastAsia="zh-CN" w:bidi="ar-SA"/>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486</w:t>
            </w:r>
          </w:p>
        </w:tc>
        <w:tc>
          <w:tcPr>
            <w:tcW w:w="1325"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center"/>
          </w:tcPr>
          <w:p>
            <w:pPr>
              <w:jc w:val="right"/>
              <w:rPr>
                <w:rFonts w:hint="eastAsia" w:asciiTheme="minorEastAsia" w:hAnsiTheme="minorEastAsia" w:eastAsiaTheme="minorEastAsia"/>
                <w:b/>
                <w:bCs/>
                <w:color w:val="1F497D" w:themeColor="text2"/>
                <w:sz w:val="20"/>
                <w:szCs w:val="20"/>
                <w:highlight w:val="none"/>
                <w:lang w:val="en-US" w:eastAsia="zh-CN"/>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23</w:t>
            </w:r>
          </w:p>
        </w:tc>
        <w:tc>
          <w:tcPr>
            <w:tcW w:w="1188"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center"/>
          </w:tcPr>
          <w:p>
            <w:pPr>
              <w:jc w:val="right"/>
              <w:rPr>
                <w:rFonts w:hint="eastAsia" w:asciiTheme="minorEastAsia" w:hAnsiTheme="minorEastAsia" w:eastAsiaTheme="minorEastAsia"/>
                <w:b/>
                <w:bCs/>
                <w:color w:val="1F497D" w:themeColor="text2"/>
                <w:sz w:val="20"/>
                <w:szCs w:val="20"/>
                <w:highlight w:val="none"/>
                <w:lang w:val="en-US" w:eastAsia="zh-CN"/>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95.48</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125" w:type="dxa"/>
            <w:vMerge w:val="restart"/>
            <w:tcBorders>
              <w:left w:val="single" w:color="FFFFFF" w:themeColor="background1" w:sz="8" w:space="0"/>
              <w:right w:val="single" w:color="FFFFFF" w:themeColor="background1" w:sz="24" w:space="0"/>
              <w:insideH w:val="single" w:sz="8" w:space="0"/>
              <w:insideV w:val="single" w:sz="24" w:space="0"/>
            </w:tcBorders>
            <w:shd w:val="clear" w:color="auto" w:fill="4BACC6" w:themeFill="accent5"/>
            <w:vAlign w:val="center"/>
          </w:tcPr>
          <w:p>
            <w:pPr>
              <w:jc w:val="center"/>
              <w:rPr>
                <w:rFonts w:hint="eastAsia" w:cs="Times New Roman" w:asciiTheme="minorEastAsia" w:hAnsiTheme="minorEastAsia" w:eastAsiaTheme="minorEastAsia"/>
                <w:b/>
                <w:bCs/>
                <w:i w:val="0"/>
                <w:iCs w:val="0"/>
                <w:color w:val="FFFFFF" w:themeColor="background1"/>
                <w:kern w:val="2"/>
                <w:sz w:val="20"/>
                <w:szCs w:val="20"/>
                <w:lang w:val="en-US" w:eastAsia="zh-CN" w:bidi="ar-SA"/>
                <w14:textFill>
                  <w14:solidFill>
                    <w14:schemeClr w14:val="bg1"/>
                  </w14:solidFill>
                </w14:textFill>
              </w:rPr>
            </w:pPr>
          </w:p>
          <w:p>
            <w:pPr>
              <w:jc w:val="center"/>
              <w:rPr>
                <w:rFonts w:hint="default" w:cs="Times New Roman" w:asciiTheme="minorEastAsia" w:hAnsiTheme="minorEastAsia" w:eastAsiaTheme="minorEastAsia"/>
                <w:b/>
                <w:bCs/>
                <w:i w:val="0"/>
                <w:iCs w:val="0"/>
                <w:color w:val="FFFFFF" w:themeColor="background1"/>
                <w:kern w:val="2"/>
                <w:sz w:val="20"/>
                <w:szCs w:val="20"/>
                <w:lang w:val="en-US" w:eastAsia="zh-CN" w:bidi="ar-SA"/>
                <w14:textFill>
                  <w14:solidFill>
                    <w14:schemeClr w14:val="bg1"/>
                  </w14:solidFill>
                </w14:textFill>
              </w:rPr>
            </w:pPr>
            <w:r>
              <w:rPr>
                <w:rFonts w:hint="eastAsia" w:cs="Times New Roman" w:asciiTheme="minorEastAsia" w:hAnsiTheme="minorEastAsia" w:eastAsiaTheme="minorEastAsia"/>
                <w:b/>
                <w:bCs/>
                <w:i w:val="0"/>
                <w:iCs w:val="0"/>
                <w:color w:val="FFFFFF" w:themeColor="background1"/>
                <w:kern w:val="2"/>
                <w:sz w:val="20"/>
                <w:szCs w:val="20"/>
                <w:lang w:val="en-US" w:eastAsia="zh-CN" w:bidi="ar-SA"/>
                <w14:textFill>
                  <w14:solidFill>
                    <w14:schemeClr w14:val="bg1"/>
                  </w14:solidFill>
                </w14:textFill>
              </w:rPr>
              <w:t>艺术创意学院</w:t>
            </w:r>
          </w:p>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575"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ru-RU"/>
              </w:rPr>
              <w:t>电子商务</w:t>
            </w:r>
          </w:p>
        </w:tc>
        <w:tc>
          <w:tcPr>
            <w:tcW w:w="888"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433</w:t>
            </w:r>
          </w:p>
        </w:tc>
        <w:tc>
          <w:tcPr>
            <w:tcW w:w="131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center"/>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418</w:t>
            </w:r>
          </w:p>
        </w:tc>
        <w:tc>
          <w:tcPr>
            <w:tcW w:w="1325"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center"/>
          </w:tcPr>
          <w:p>
            <w:pPr>
              <w:jc w:val="center"/>
              <w:rPr>
                <w:rFonts w:hint="eastAsia" w:asciiTheme="minorEastAsia" w:hAnsiTheme="minorEastAsia" w:eastAsiaTheme="minorEastAsia"/>
                <w:sz w:val="20"/>
                <w:szCs w:val="20"/>
                <w:lang w:val="en-US" w:eastAsia="zh-CN"/>
              </w:rPr>
            </w:pPr>
            <w:r>
              <w:rPr>
                <w:rFonts w:hint="eastAsia" w:cs="Times New Roman" w:asciiTheme="minorEastAsia" w:hAnsiTheme="minorEastAsia" w:eastAsiaTheme="minorEastAsia"/>
                <w:kern w:val="2"/>
                <w:sz w:val="20"/>
                <w:szCs w:val="20"/>
                <w:lang w:val="en-US" w:eastAsia="zh-CN" w:bidi="ar-SA"/>
              </w:rPr>
              <w:t>15</w:t>
            </w:r>
          </w:p>
        </w:tc>
        <w:tc>
          <w:tcPr>
            <w:tcW w:w="1188"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center"/>
          </w:tcPr>
          <w:p>
            <w:pPr>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96.54</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125" w:type="dxa"/>
            <w:vMerge w:val="continue"/>
            <w:tcBorders>
              <w:left w:val="single" w:color="FFFFFF" w:themeColor="background1" w:sz="8" w:space="0"/>
              <w:right w:val="single" w:color="FFFFFF" w:themeColor="background1" w:sz="24" w:space="0"/>
              <w:insideH w:val="single" w:sz="8" w:space="0"/>
              <w:insideV w:val="single" w:sz="24" w:space="0"/>
            </w:tcBorders>
            <w:shd w:val="clear" w:color="auto" w:fill="4BACC6" w:themeFill="accent5"/>
            <w:vAlign w:val="center"/>
          </w:tcPr>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575"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ru-RU"/>
              </w:rPr>
              <w:t>服装与服饰设计</w:t>
            </w:r>
          </w:p>
        </w:tc>
        <w:tc>
          <w:tcPr>
            <w:tcW w:w="888"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91</w:t>
            </w:r>
          </w:p>
        </w:tc>
        <w:tc>
          <w:tcPr>
            <w:tcW w:w="131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center"/>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90</w:t>
            </w:r>
          </w:p>
        </w:tc>
        <w:tc>
          <w:tcPr>
            <w:tcW w:w="1325"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center"/>
          </w:tcPr>
          <w:p>
            <w:pPr>
              <w:jc w:val="center"/>
              <w:rPr>
                <w:rFonts w:hint="eastAsia" w:cs="Times New Roman" w:asciiTheme="minorEastAsia" w:hAnsiTheme="minorEastAsia" w:eastAsiaTheme="minorEastAsia"/>
                <w:kern w:val="2"/>
                <w:sz w:val="20"/>
                <w:szCs w:val="20"/>
                <w:lang w:val="en-US" w:eastAsia="zh-CN" w:bidi="ar-SA"/>
              </w:rPr>
            </w:pPr>
            <w:r>
              <w:rPr>
                <w:rFonts w:hint="eastAsia" w:cs="Times New Roman" w:asciiTheme="minorEastAsia" w:hAnsiTheme="minorEastAsia" w:eastAsiaTheme="minorEastAsia"/>
                <w:kern w:val="2"/>
                <w:sz w:val="20"/>
                <w:szCs w:val="20"/>
                <w:lang w:val="en-US" w:eastAsia="zh-CN" w:bidi="ar-SA"/>
              </w:rPr>
              <w:t>1</w:t>
            </w:r>
          </w:p>
        </w:tc>
        <w:tc>
          <w:tcPr>
            <w:tcW w:w="1188"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center"/>
          </w:tcPr>
          <w:p>
            <w:pPr>
              <w:jc w:val="center"/>
              <w:rPr>
                <w:rFonts w:hint="eastAsia"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98.90</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125" w:type="dxa"/>
            <w:vMerge w:val="continue"/>
            <w:tcBorders>
              <w:left w:val="single" w:color="FFFFFF" w:themeColor="background1" w:sz="8" w:space="0"/>
              <w:bottom w:val="single" w:color="FFFFFF" w:themeColor="background1" w:sz="8" w:space="0"/>
              <w:right w:val="single" w:color="FFFFFF" w:themeColor="background1" w:sz="24" w:space="0"/>
              <w:insideH w:val="single" w:sz="8" w:space="0"/>
              <w:insideV w:val="single" w:sz="24" w:space="0"/>
            </w:tcBorders>
            <w:shd w:val="clear" w:color="auto" w:fill="4BACC6" w:themeFill="accent5"/>
            <w:vAlign w:val="center"/>
          </w:tcPr>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575"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cs="Times New Roman" w:asciiTheme="minorEastAsia" w:hAnsiTheme="minorEastAsia" w:eastAsiaTheme="minorEastAsia"/>
                <w:b/>
                <w:bCs/>
                <w:color w:val="1F497D" w:themeColor="text2"/>
                <w:kern w:val="2"/>
                <w:sz w:val="20"/>
                <w:szCs w:val="20"/>
                <w:lang w:val="en-US" w:eastAsia="zh-CN" w:bidi="ar-SA"/>
                <w14:textFill>
                  <w14:solidFill>
                    <w14:schemeClr w14:val="tx2"/>
                  </w14:solidFill>
                </w14:textFill>
              </w:rPr>
            </w:pPr>
            <w:r>
              <w:rPr>
                <w:rFonts w:hint="eastAsia" w:asciiTheme="minorEastAsia" w:hAnsiTheme="minorEastAsia" w:eastAsiaTheme="minorEastAsia"/>
                <w:sz w:val="20"/>
                <w:szCs w:val="20"/>
                <w:lang w:val="ru-RU"/>
              </w:rPr>
              <w:t>广告设计与制作</w:t>
            </w:r>
          </w:p>
        </w:tc>
        <w:tc>
          <w:tcPr>
            <w:tcW w:w="888"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cs="Times New Roman" w:asciiTheme="minorEastAsia" w:hAnsiTheme="minorEastAsia" w:eastAsiaTheme="minorEastAsia"/>
                <w:b/>
                <w:bCs/>
                <w:color w:val="1F497D" w:themeColor="text2"/>
                <w:kern w:val="2"/>
                <w:sz w:val="20"/>
                <w:szCs w:val="20"/>
                <w:lang w:val="en-US" w:eastAsia="zh-CN" w:bidi="ar-SA"/>
                <w14:textFill>
                  <w14:solidFill>
                    <w14:schemeClr w14:val="tx2"/>
                  </w14:solidFill>
                </w14:textFill>
              </w:rPr>
            </w:pPr>
            <w:r>
              <w:rPr>
                <w:rFonts w:hint="eastAsia" w:asciiTheme="minorEastAsia" w:hAnsiTheme="minorEastAsia" w:eastAsiaTheme="minorEastAsia"/>
                <w:sz w:val="20"/>
                <w:szCs w:val="20"/>
                <w:lang w:val="en-US" w:eastAsia="zh-CN"/>
              </w:rPr>
              <w:t>189</w:t>
            </w:r>
          </w:p>
        </w:tc>
        <w:tc>
          <w:tcPr>
            <w:tcW w:w="131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center"/>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180</w:t>
            </w:r>
          </w:p>
        </w:tc>
        <w:tc>
          <w:tcPr>
            <w:tcW w:w="1325"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center"/>
          </w:tcPr>
          <w:p>
            <w:pPr>
              <w:jc w:val="center"/>
              <w:rPr>
                <w:rFonts w:hint="eastAsia" w:asciiTheme="minorEastAsia" w:hAnsiTheme="minorEastAsia" w:eastAsiaTheme="minorEastAsia"/>
                <w:sz w:val="20"/>
                <w:szCs w:val="20"/>
                <w:lang w:val="en-US" w:eastAsia="zh-CN"/>
              </w:rPr>
            </w:pPr>
            <w:r>
              <w:rPr>
                <w:rFonts w:hint="eastAsia" w:cs="Times New Roman" w:asciiTheme="minorEastAsia" w:hAnsiTheme="minorEastAsia" w:eastAsiaTheme="minorEastAsia"/>
                <w:kern w:val="2"/>
                <w:sz w:val="20"/>
                <w:szCs w:val="20"/>
                <w:lang w:val="en-US" w:eastAsia="zh-CN" w:bidi="ar-SA"/>
              </w:rPr>
              <w:t>9</w:t>
            </w:r>
          </w:p>
        </w:tc>
        <w:tc>
          <w:tcPr>
            <w:tcW w:w="1188"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center"/>
          </w:tcPr>
          <w:p>
            <w:pPr>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95.24</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125" w:type="dxa"/>
            <w:vMerge w:val="continue"/>
            <w:tcBorders>
              <w:top w:val="single" w:color="FFFFFF" w:themeColor="background1" w:sz="8" w:space="0"/>
              <w:left w:val="single" w:color="FFFFFF" w:themeColor="background1" w:sz="8" w:space="0"/>
              <w:bottom w:val="single" w:color="FFFFFF" w:themeColor="background1" w:sz="8" w:space="0"/>
              <w:right w:val="single" w:color="FFFFFF" w:themeColor="background1" w:sz="24" w:space="0"/>
              <w:insideH w:val="single" w:sz="8" w:space="0"/>
              <w:insideV w:val="single" w:sz="24" w:space="0"/>
            </w:tcBorders>
            <w:shd w:val="clear" w:color="auto" w:fill="4BACC6" w:themeFill="accent5"/>
            <w:vAlign w:val="center"/>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575"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right"/>
              <w:rPr>
                <w:rFonts w:asciiTheme="minorEastAsia" w:hAnsiTheme="minorEastAsia" w:eastAsiaTheme="minorEastAsia"/>
                <w:sz w:val="20"/>
                <w:szCs w:val="20"/>
                <w:highlight w:val="none"/>
                <w:lang w:val="ru-RU"/>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艺术创意学院 汇总</w:t>
            </w:r>
          </w:p>
        </w:tc>
        <w:tc>
          <w:tcPr>
            <w:tcW w:w="888"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right"/>
              <w:rPr>
                <w:rFonts w:hint="default" w:asciiTheme="minorEastAsia" w:hAnsiTheme="minorEastAsia" w:eastAsiaTheme="minorEastAsia"/>
                <w:b/>
                <w:bCs/>
                <w:sz w:val="20"/>
                <w:szCs w:val="20"/>
                <w:highlight w:val="none"/>
                <w:lang w:val="en-US" w:eastAsia="zh-CN"/>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713</w:t>
            </w:r>
          </w:p>
        </w:tc>
        <w:tc>
          <w:tcPr>
            <w:tcW w:w="131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center"/>
          </w:tcPr>
          <w:p>
            <w:pPr>
              <w:jc w:val="right"/>
              <w:rPr>
                <w:rFonts w:hint="default" w:asciiTheme="minorEastAsia" w:hAnsiTheme="minorEastAsia" w:eastAsiaTheme="minorEastAsia"/>
                <w:b/>
                <w:bCs/>
                <w:sz w:val="20"/>
                <w:szCs w:val="20"/>
                <w:highlight w:val="none"/>
                <w:lang w:val="en-US"/>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688</w:t>
            </w:r>
          </w:p>
        </w:tc>
        <w:tc>
          <w:tcPr>
            <w:tcW w:w="1325"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center"/>
          </w:tcPr>
          <w:p>
            <w:pPr>
              <w:jc w:val="right"/>
              <w:rPr>
                <w:rFonts w:hint="eastAsia" w:asciiTheme="minorEastAsia" w:hAnsiTheme="minorEastAsia" w:eastAsiaTheme="minorEastAsia"/>
                <w:b/>
                <w:bCs/>
                <w:color w:val="1F497D" w:themeColor="text2"/>
                <w:sz w:val="20"/>
                <w:szCs w:val="20"/>
                <w:highlight w:val="none"/>
                <w:lang w:val="en-US" w:eastAsia="zh-CN"/>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25</w:t>
            </w:r>
          </w:p>
        </w:tc>
        <w:tc>
          <w:tcPr>
            <w:tcW w:w="1188"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center"/>
          </w:tcPr>
          <w:p>
            <w:pPr>
              <w:jc w:val="right"/>
              <w:rPr>
                <w:rFonts w:hint="eastAsia" w:asciiTheme="minorEastAsia" w:hAnsiTheme="minorEastAsia" w:eastAsiaTheme="minorEastAsia"/>
                <w:b/>
                <w:bCs/>
                <w:color w:val="1F497D" w:themeColor="text2"/>
                <w:sz w:val="20"/>
                <w:szCs w:val="20"/>
                <w:highlight w:val="none"/>
                <w:lang w:val="en-US" w:eastAsia="zh-CN"/>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96.49</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125" w:type="dxa"/>
            <w:vMerge w:val="restart"/>
            <w:tcBorders>
              <w:top w:val="single" w:color="FFFFFF" w:themeColor="background1" w:sz="8" w:space="0"/>
              <w:left w:val="single" w:color="FFFFFF" w:themeColor="background1" w:sz="8" w:space="0"/>
              <w:right w:val="single" w:color="FFFFFF" w:themeColor="background1" w:sz="24" w:space="0"/>
              <w:insideH w:val="single" w:sz="8" w:space="0"/>
              <w:insideV w:val="single" w:sz="24" w:space="0"/>
            </w:tcBorders>
            <w:shd w:val="clear" w:color="auto" w:fill="4BACC6" w:themeFill="accent5"/>
            <w:vAlign w:val="center"/>
          </w:tcPr>
          <w:p>
            <w:pPr>
              <w:jc w:val="center"/>
              <w:rPr>
                <w:rFonts w:hint="eastAsia" w:cs="Times New Roman" w:asciiTheme="minorEastAsia" w:hAnsiTheme="minorEastAsia" w:eastAsiaTheme="minorEastAsia"/>
                <w:b/>
                <w:bCs/>
                <w:i w:val="0"/>
                <w:iCs w:val="0"/>
                <w:color w:val="FFFFFF" w:themeColor="background1"/>
                <w:kern w:val="2"/>
                <w:sz w:val="20"/>
                <w:szCs w:val="20"/>
                <w:lang w:val="en-US" w:eastAsia="zh-CN" w:bidi="ar-SA"/>
                <w14:textFill>
                  <w14:solidFill>
                    <w14:schemeClr w14:val="bg1"/>
                  </w14:solidFill>
                </w14:textFill>
              </w:rPr>
            </w:pPr>
            <w: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t>生物工程</w:t>
            </w:r>
            <w:r>
              <w:rPr>
                <w:rFonts w:hint="eastAsia" w:asciiTheme="minorEastAsia" w:hAnsiTheme="minorEastAsia" w:eastAsiaTheme="minorEastAsia"/>
                <w:b/>
                <w:bCs/>
                <w:i w:val="0"/>
                <w:iCs w:val="0"/>
                <w:color w:val="FFFFFF" w:themeColor="background1"/>
                <w:sz w:val="20"/>
                <w:szCs w:val="20"/>
                <w:lang w:val="en-US" w:eastAsia="zh-CN"/>
                <w14:textFill>
                  <w14:solidFill>
                    <w14:schemeClr w14:val="bg1"/>
                  </w14:solidFill>
                </w14:textFill>
              </w:rPr>
              <w:t>学院</w:t>
            </w:r>
          </w:p>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575"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eastAsia" w:cs="Times New Roman" w:asciiTheme="minorEastAsia" w:hAnsiTheme="minorEastAsia" w:eastAsiaTheme="minorEastAsia"/>
                <w:kern w:val="2"/>
                <w:sz w:val="20"/>
                <w:szCs w:val="20"/>
                <w:lang w:val="ru-RU" w:eastAsia="zh-CN" w:bidi="ar-SA"/>
              </w:rPr>
            </w:pPr>
            <w:r>
              <w:rPr>
                <w:rFonts w:hint="eastAsia" w:asciiTheme="minorEastAsia" w:hAnsiTheme="minorEastAsia" w:eastAsiaTheme="minorEastAsia"/>
                <w:sz w:val="20"/>
                <w:szCs w:val="20"/>
                <w:lang w:val="ru-RU"/>
              </w:rPr>
              <w:t>动物医学</w:t>
            </w:r>
          </w:p>
        </w:tc>
        <w:tc>
          <w:tcPr>
            <w:tcW w:w="888"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cs="Times New Roman" w:asciiTheme="minorEastAsia" w:hAnsiTheme="minorEastAsia" w:eastAsiaTheme="minorEastAsia"/>
                <w:kern w:val="2"/>
                <w:sz w:val="20"/>
                <w:szCs w:val="20"/>
                <w:lang w:val="en-US" w:eastAsia="zh-CN" w:bidi="ar-SA"/>
              </w:rPr>
              <w:t>266</w:t>
            </w:r>
          </w:p>
        </w:tc>
        <w:tc>
          <w:tcPr>
            <w:tcW w:w="131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center"/>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255</w:t>
            </w:r>
          </w:p>
        </w:tc>
        <w:tc>
          <w:tcPr>
            <w:tcW w:w="1325"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center"/>
          </w:tcPr>
          <w:p>
            <w:pPr>
              <w:jc w:val="center"/>
              <w:rPr>
                <w:rFonts w:hint="eastAsia" w:asciiTheme="minorEastAsia" w:hAnsiTheme="minorEastAsia" w:eastAsiaTheme="minorEastAsia"/>
                <w:sz w:val="20"/>
                <w:szCs w:val="20"/>
                <w:lang w:val="en-US" w:eastAsia="zh-CN"/>
              </w:rPr>
            </w:pPr>
            <w:r>
              <w:rPr>
                <w:rFonts w:hint="eastAsia" w:cs="Times New Roman" w:asciiTheme="minorEastAsia" w:hAnsiTheme="minorEastAsia" w:eastAsiaTheme="minorEastAsia"/>
                <w:kern w:val="2"/>
                <w:sz w:val="20"/>
                <w:szCs w:val="20"/>
                <w:lang w:val="en-US" w:eastAsia="zh-CN" w:bidi="ar-SA"/>
              </w:rPr>
              <w:t>11</w:t>
            </w:r>
          </w:p>
        </w:tc>
        <w:tc>
          <w:tcPr>
            <w:tcW w:w="1188"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center"/>
          </w:tcPr>
          <w:p>
            <w:pPr>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95.86</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rPr>
          <w:trHeight w:val="252" w:hRule="atLeast"/>
        </w:trPr>
        <w:tc>
          <w:tcPr>
            <w:tcW w:w="2125" w:type="dxa"/>
            <w:vMerge w:val="continue"/>
            <w:tcBorders>
              <w:left w:val="single" w:color="FFFFFF" w:themeColor="background1" w:sz="8" w:space="0"/>
              <w:right w:val="single" w:color="FFFFFF" w:themeColor="background1" w:sz="24" w:space="0"/>
              <w:insideH w:val="single" w:sz="8" w:space="0"/>
              <w:insideV w:val="single" w:sz="24" w:space="0"/>
            </w:tcBorders>
            <w:shd w:val="clear" w:color="auto" w:fill="4BACC6" w:themeFill="accent5"/>
            <w:vAlign w:val="center"/>
          </w:tcPr>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575"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eastAsia" w:cs="Times New Roman" w:asciiTheme="minorEastAsia" w:hAnsiTheme="minorEastAsia" w:eastAsiaTheme="minorEastAsia"/>
                <w:kern w:val="2"/>
                <w:sz w:val="20"/>
                <w:szCs w:val="20"/>
                <w:lang w:val="ru-RU" w:eastAsia="zh-CN" w:bidi="ar-SA"/>
              </w:rPr>
            </w:pPr>
            <w:r>
              <w:rPr>
                <w:rFonts w:hint="eastAsia" w:asciiTheme="minorEastAsia" w:hAnsiTheme="minorEastAsia" w:eastAsiaTheme="minorEastAsia"/>
                <w:sz w:val="20"/>
                <w:szCs w:val="20"/>
                <w:lang w:val="ru-RU"/>
              </w:rPr>
              <w:t>药品生产技术</w:t>
            </w:r>
          </w:p>
        </w:tc>
        <w:tc>
          <w:tcPr>
            <w:tcW w:w="888"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cs="Times New Roman" w:asciiTheme="minorEastAsia" w:hAnsiTheme="minorEastAsia" w:eastAsiaTheme="minorEastAsia"/>
                <w:kern w:val="2"/>
                <w:sz w:val="20"/>
                <w:szCs w:val="20"/>
                <w:lang w:val="en-US" w:eastAsia="zh-CN" w:bidi="ar-SA"/>
              </w:rPr>
              <w:t>81</w:t>
            </w:r>
          </w:p>
        </w:tc>
        <w:tc>
          <w:tcPr>
            <w:tcW w:w="131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center"/>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76</w:t>
            </w:r>
          </w:p>
        </w:tc>
        <w:tc>
          <w:tcPr>
            <w:tcW w:w="1325"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center"/>
          </w:tcPr>
          <w:p>
            <w:pPr>
              <w:jc w:val="center"/>
              <w:rPr>
                <w:rFonts w:hint="eastAsia" w:asciiTheme="minorEastAsia" w:hAnsiTheme="minorEastAsia" w:eastAsiaTheme="minorEastAsia"/>
                <w:sz w:val="20"/>
                <w:szCs w:val="20"/>
                <w:lang w:val="en-US" w:eastAsia="zh-CN"/>
              </w:rPr>
            </w:pPr>
            <w:r>
              <w:rPr>
                <w:rFonts w:hint="eastAsia" w:cs="Times New Roman" w:asciiTheme="minorEastAsia" w:hAnsiTheme="minorEastAsia" w:eastAsiaTheme="minorEastAsia"/>
                <w:kern w:val="2"/>
                <w:sz w:val="20"/>
                <w:szCs w:val="20"/>
                <w:lang w:val="en-US" w:eastAsia="zh-CN" w:bidi="ar-SA"/>
              </w:rPr>
              <w:t>5</w:t>
            </w:r>
          </w:p>
        </w:tc>
        <w:tc>
          <w:tcPr>
            <w:tcW w:w="1188"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center"/>
          </w:tcPr>
          <w:p>
            <w:pPr>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93.83</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125" w:type="dxa"/>
            <w:vMerge w:val="continue"/>
            <w:tcBorders>
              <w:left w:val="single" w:color="FFFFFF" w:themeColor="background1" w:sz="8" w:space="0"/>
              <w:right w:val="single" w:color="FFFFFF" w:themeColor="background1" w:sz="24" w:space="0"/>
              <w:insideH w:val="single" w:sz="8" w:space="0"/>
              <w:insideV w:val="single" w:sz="24" w:space="0"/>
            </w:tcBorders>
            <w:shd w:val="clear" w:color="auto" w:fill="4BACC6" w:themeFill="accent5"/>
            <w:vAlign w:val="center"/>
          </w:tcPr>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575"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ru-RU" w:eastAsia="zh-CN" w:bidi="ar-SA"/>
              </w:rPr>
            </w:pPr>
            <w:r>
              <w:rPr>
                <w:rFonts w:hint="eastAsia" w:asciiTheme="minorEastAsia" w:hAnsiTheme="minorEastAsia" w:eastAsiaTheme="minorEastAsia"/>
                <w:sz w:val="20"/>
                <w:szCs w:val="20"/>
                <w:lang w:val="en-US" w:eastAsia="zh-CN"/>
              </w:rPr>
              <w:t>宠物临床诊疗技术</w:t>
            </w:r>
          </w:p>
        </w:tc>
        <w:tc>
          <w:tcPr>
            <w:tcW w:w="888"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cs="Times New Roman" w:asciiTheme="minorEastAsia" w:hAnsiTheme="minorEastAsia" w:eastAsiaTheme="minorEastAsia"/>
                <w:kern w:val="2"/>
                <w:sz w:val="20"/>
                <w:szCs w:val="20"/>
                <w:lang w:val="en-US" w:eastAsia="zh-CN" w:bidi="ar-SA"/>
              </w:rPr>
              <w:t>38</w:t>
            </w:r>
          </w:p>
        </w:tc>
        <w:tc>
          <w:tcPr>
            <w:tcW w:w="131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center"/>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35</w:t>
            </w:r>
          </w:p>
        </w:tc>
        <w:tc>
          <w:tcPr>
            <w:tcW w:w="1325"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center"/>
          </w:tcPr>
          <w:p>
            <w:pPr>
              <w:jc w:val="center"/>
              <w:rPr>
                <w:rFonts w:hint="eastAsia" w:asciiTheme="minorEastAsia" w:hAnsiTheme="minorEastAsia" w:eastAsiaTheme="minorEastAsia"/>
                <w:sz w:val="20"/>
                <w:szCs w:val="20"/>
                <w:lang w:val="en-US" w:eastAsia="zh-CN"/>
              </w:rPr>
            </w:pPr>
            <w:r>
              <w:rPr>
                <w:rFonts w:hint="eastAsia" w:cs="Times New Roman" w:asciiTheme="minorEastAsia" w:hAnsiTheme="minorEastAsia" w:eastAsiaTheme="minorEastAsia"/>
                <w:kern w:val="2"/>
                <w:sz w:val="20"/>
                <w:szCs w:val="20"/>
                <w:lang w:val="en-US" w:eastAsia="zh-CN" w:bidi="ar-SA"/>
              </w:rPr>
              <w:t>3</w:t>
            </w:r>
          </w:p>
        </w:tc>
        <w:tc>
          <w:tcPr>
            <w:tcW w:w="1188"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center"/>
          </w:tcPr>
          <w:p>
            <w:pPr>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92.11</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125" w:type="dxa"/>
            <w:vMerge w:val="continue"/>
            <w:tcBorders>
              <w:left w:val="single" w:color="FFFFFF" w:themeColor="background1" w:sz="8" w:space="0"/>
              <w:right w:val="single" w:color="FFFFFF" w:themeColor="background1" w:sz="24" w:space="0"/>
              <w:insideH w:val="single" w:sz="8" w:space="0"/>
              <w:insideV w:val="single" w:sz="24" w:space="0"/>
            </w:tcBorders>
            <w:shd w:val="clear" w:color="auto" w:fill="4BACC6" w:themeFill="accent5"/>
            <w:vAlign w:val="center"/>
          </w:tcPr>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575"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right"/>
              <w:rPr>
                <w:rFonts w:hint="default" w:cs="Times New Roman" w:asciiTheme="minorEastAsia" w:hAnsiTheme="minorEastAsia" w:eastAsiaTheme="minorEastAsia"/>
                <w:b/>
                <w:bCs/>
                <w:color w:val="1F497D" w:themeColor="text2"/>
                <w:kern w:val="2"/>
                <w:sz w:val="20"/>
                <w:szCs w:val="20"/>
                <w:highlight w:val="none"/>
                <w:lang w:val="ru-RU" w:eastAsia="zh-CN" w:bidi="ar-SA"/>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生物工程学院 汇总</w:t>
            </w:r>
          </w:p>
        </w:tc>
        <w:tc>
          <w:tcPr>
            <w:tcW w:w="888"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right"/>
              <w:rPr>
                <w:rFonts w:hint="default" w:cs="Times New Roman" w:asciiTheme="minorEastAsia" w:hAnsiTheme="minorEastAsia" w:eastAsiaTheme="minorEastAsia"/>
                <w:b/>
                <w:bCs/>
                <w:color w:val="1F497D" w:themeColor="text2"/>
                <w:kern w:val="2"/>
                <w:sz w:val="20"/>
                <w:szCs w:val="20"/>
                <w:highlight w:val="none"/>
                <w:lang w:val="en-US" w:eastAsia="zh-CN" w:bidi="ar-SA"/>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385</w:t>
            </w:r>
          </w:p>
        </w:tc>
        <w:tc>
          <w:tcPr>
            <w:tcW w:w="131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center"/>
          </w:tcPr>
          <w:p>
            <w:pPr>
              <w:jc w:val="right"/>
              <w:rPr>
                <w:rFonts w:hint="default" w:cs="Times New Roman" w:asciiTheme="minorEastAsia" w:hAnsiTheme="minorEastAsia" w:eastAsiaTheme="minorEastAsia"/>
                <w:kern w:val="2"/>
                <w:sz w:val="20"/>
                <w:szCs w:val="20"/>
                <w:highlight w:val="none"/>
                <w:lang w:val="en-US" w:eastAsia="zh-CN" w:bidi="ar-SA"/>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366</w:t>
            </w:r>
          </w:p>
        </w:tc>
        <w:tc>
          <w:tcPr>
            <w:tcW w:w="1325"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center"/>
          </w:tcPr>
          <w:p>
            <w:pPr>
              <w:jc w:val="right"/>
              <w:rPr>
                <w:rFonts w:hint="eastAsia" w:asciiTheme="minorEastAsia" w:hAnsiTheme="minorEastAsia" w:eastAsiaTheme="minorEastAsia"/>
                <w:b/>
                <w:bCs/>
                <w:color w:val="1F497D" w:themeColor="text2"/>
                <w:sz w:val="20"/>
                <w:szCs w:val="20"/>
                <w:highlight w:val="none"/>
                <w:lang w:val="en-US" w:eastAsia="zh-CN"/>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19</w:t>
            </w:r>
          </w:p>
        </w:tc>
        <w:tc>
          <w:tcPr>
            <w:tcW w:w="1188"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center"/>
          </w:tcPr>
          <w:p>
            <w:pPr>
              <w:jc w:val="right"/>
              <w:rPr>
                <w:rFonts w:hint="eastAsia" w:asciiTheme="minorEastAsia" w:hAnsiTheme="minorEastAsia" w:eastAsiaTheme="minorEastAsia"/>
                <w:b/>
                <w:bCs/>
                <w:color w:val="1F497D" w:themeColor="text2"/>
                <w:sz w:val="20"/>
                <w:szCs w:val="20"/>
                <w:highlight w:val="none"/>
                <w:lang w:val="en-US" w:eastAsia="zh-CN"/>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95.06</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rPr>
          <w:trHeight w:val="90" w:hRule="atLeast"/>
        </w:trPr>
        <w:tc>
          <w:tcPr>
            <w:tcW w:w="2125" w:type="dxa"/>
            <w:vMerge w:val="restart"/>
            <w:tcBorders>
              <w:left w:val="single" w:color="FFFFFF" w:themeColor="background1" w:sz="8" w:space="0"/>
              <w:right w:val="single" w:color="FFFFFF" w:themeColor="background1" w:sz="24" w:space="0"/>
              <w:insideH w:val="nil"/>
              <w:insideV w:val="single" w:sz="24" w:space="0"/>
            </w:tcBorders>
            <w:shd w:val="clear" w:color="auto" w:fill="4BACC6" w:themeFill="accent5"/>
            <w:vAlign w:val="center"/>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t>汽车与智能制造学院</w:t>
            </w:r>
          </w:p>
        </w:tc>
        <w:tc>
          <w:tcPr>
            <w:tcW w:w="2575" w:type="dxa"/>
            <w:shd w:val="clear" w:color="auto" w:fill="92CDDC" w:themeFill="accent5" w:themeFillTint="99"/>
            <w:vAlign w:val="top"/>
          </w:tcPr>
          <w:p>
            <w:pPr>
              <w:jc w:val="center"/>
              <w:rPr>
                <w:rFonts w:asciiTheme="minorEastAsia" w:hAnsiTheme="minorEastAsia" w:eastAsiaTheme="minorEastAsia"/>
                <w:sz w:val="20"/>
                <w:szCs w:val="20"/>
                <w:lang w:val="ru-RU"/>
              </w:rPr>
            </w:pPr>
            <w:r>
              <w:rPr>
                <w:rFonts w:hint="eastAsia" w:asciiTheme="minorEastAsia" w:hAnsiTheme="minorEastAsia" w:eastAsiaTheme="minorEastAsia"/>
                <w:sz w:val="20"/>
                <w:szCs w:val="20"/>
                <w:lang w:val="ru-RU"/>
              </w:rPr>
              <w:t>汽车检测与维修技术</w:t>
            </w:r>
          </w:p>
        </w:tc>
        <w:tc>
          <w:tcPr>
            <w:tcW w:w="888" w:type="dxa"/>
            <w:shd w:val="clear" w:color="auto" w:fill="92CDDC" w:themeFill="accent5" w:themeFillTint="99"/>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168</w:t>
            </w:r>
          </w:p>
        </w:tc>
        <w:tc>
          <w:tcPr>
            <w:tcW w:w="1312" w:type="dxa"/>
            <w:shd w:val="clear" w:color="auto" w:fill="92CDDC" w:themeFill="accent5" w:themeFillTint="99"/>
            <w:vAlign w:val="center"/>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160</w:t>
            </w:r>
          </w:p>
        </w:tc>
        <w:tc>
          <w:tcPr>
            <w:tcW w:w="1325" w:type="dxa"/>
            <w:shd w:val="clear" w:color="auto" w:fill="92CDDC" w:themeFill="accent5" w:themeFillTint="99"/>
            <w:vAlign w:val="center"/>
          </w:tcPr>
          <w:p>
            <w:pPr>
              <w:jc w:val="center"/>
              <w:rPr>
                <w:rFonts w:hint="eastAsia" w:asciiTheme="minorEastAsia" w:hAnsiTheme="minorEastAsia" w:eastAsiaTheme="minorEastAsia"/>
                <w:sz w:val="20"/>
                <w:szCs w:val="20"/>
                <w:lang w:val="en-US" w:eastAsia="zh-CN"/>
              </w:rPr>
            </w:pPr>
            <w:r>
              <w:rPr>
                <w:rFonts w:hint="eastAsia" w:cs="Times New Roman" w:asciiTheme="minorEastAsia" w:hAnsiTheme="minorEastAsia" w:eastAsiaTheme="minorEastAsia"/>
                <w:kern w:val="2"/>
                <w:sz w:val="20"/>
                <w:szCs w:val="20"/>
                <w:lang w:val="en-US" w:eastAsia="zh-CN" w:bidi="ar-SA"/>
              </w:rPr>
              <w:t>8</w:t>
            </w:r>
          </w:p>
        </w:tc>
        <w:tc>
          <w:tcPr>
            <w:tcW w:w="1188" w:type="dxa"/>
            <w:shd w:val="clear" w:color="auto" w:fill="92CDDC" w:themeFill="accent5" w:themeFillTint="99"/>
            <w:vAlign w:val="center"/>
          </w:tcPr>
          <w:p>
            <w:pPr>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95.24</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125"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top"/>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575"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asciiTheme="minorEastAsia" w:hAnsiTheme="minorEastAsia" w:eastAsiaTheme="minorEastAsia"/>
                <w:sz w:val="20"/>
                <w:szCs w:val="20"/>
                <w:lang w:val="ru-RU"/>
              </w:rPr>
            </w:pPr>
            <w:r>
              <w:rPr>
                <w:rFonts w:hint="eastAsia" w:asciiTheme="minorEastAsia" w:hAnsiTheme="minorEastAsia" w:eastAsiaTheme="minorEastAsia"/>
                <w:sz w:val="20"/>
                <w:szCs w:val="20"/>
                <w:lang w:val="en-US" w:eastAsia="zh-CN"/>
              </w:rPr>
              <w:t>工业机器人技术</w:t>
            </w:r>
          </w:p>
        </w:tc>
        <w:tc>
          <w:tcPr>
            <w:tcW w:w="888"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188</w:t>
            </w:r>
          </w:p>
        </w:tc>
        <w:tc>
          <w:tcPr>
            <w:tcW w:w="131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center"/>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182</w:t>
            </w:r>
          </w:p>
        </w:tc>
        <w:tc>
          <w:tcPr>
            <w:tcW w:w="1325"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center"/>
          </w:tcPr>
          <w:p>
            <w:pPr>
              <w:jc w:val="center"/>
              <w:rPr>
                <w:rFonts w:hint="eastAsia" w:asciiTheme="minorEastAsia" w:hAnsiTheme="minorEastAsia" w:eastAsiaTheme="minorEastAsia"/>
                <w:sz w:val="20"/>
                <w:szCs w:val="20"/>
                <w:lang w:val="en-US" w:eastAsia="zh-CN"/>
              </w:rPr>
            </w:pPr>
            <w:r>
              <w:rPr>
                <w:rFonts w:hint="eastAsia" w:cs="Times New Roman" w:asciiTheme="minorEastAsia" w:hAnsiTheme="minorEastAsia" w:eastAsiaTheme="minorEastAsia"/>
                <w:kern w:val="2"/>
                <w:sz w:val="20"/>
                <w:szCs w:val="20"/>
                <w:lang w:val="en-US" w:eastAsia="zh-CN" w:bidi="ar-SA"/>
              </w:rPr>
              <w:t>6</w:t>
            </w:r>
          </w:p>
        </w:tc>
        <w:tc>
          <w:tcPr>
            <w:tcW w:w="1188"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center"/>
          </w:tcPr>
          <w:p>
            <w:pPr>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96.81</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125"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top"/>
          </w:tcPr>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575" w:type="dxa"/>
            <w:shd w:val="clear" w:color="auto" w:fill="92CDDC" w:themeFill="accent5" w:themeFillTint="99"/>
            <w:vAlign w:val="top"/>
          </w:tcPr>
          <w:p>
            <w:pPr>
              <w:jc w:val="right"/>
              <w:rPr>
                <w:rFonts w:hint="default" w:asciiTheme="minorEastAsia" w:hAnsiTheme="minorEastAsia" w:eastAsiaTheme="minorEastAsia"/>
                <w:b w:val="0"/>
                <w:bCs w:val="0"/>
                <w:color w:val="1F497D" w:themeColor="text2"/>
                <w:sz w:val="20"/>
                <w:szCs w:val="20"/>
                <w:highlight w:val="none"/>
                <w:lang w:val="en-US" w:eastAsia="zh-CN"/>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汽车与智能制造学院 汇总</w:t>
            </w:r>
          </w:p>
        </w:tc>
        <w:tc>
          <w:tcPr>
            <w:tcW w:w="888" w:type="dxa"/>
            <w:shd w:val="clear" w:color="auto" w:fill="92CDDC" w:themeFill="accent5" w:themeFillTint="99"/>
            <w:vAlign w:val="top"/>
          </w:tcPr>
          <w:p>
            <w:pPr>
              <w:jc w:val="right"/>
              <w:rPr>
                <w:rFonts w:hint="default" w:asciiTheme="minorEastAsia" w:hAnsiTheme="minorEastAsia" w:eastAsiaTheme="minorEastAsia"/>
                <w:b/>
                <w:bCs/>
                <w:color w:val="1F497D" w:themeColor="text2"/>
                <w:sz w:val="20"/>
                <w:szCs w:val="20"/>
                <w:highlight w:val="none"/>
                <w:lang w:val="en-US" w:eastAsia="zh-CN"/>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356</w:t>
            </w:r>
          </w:p>
        </w:tc>
        <w:tc>
          <w:tcPr>
            <w:tcW w:w="1312" w:type="dxa"/>
            <w:shd w:val="clear" w:color="auto" w:fill="92CDDC" w:themeFill="accent5" w:themeFillTint="99"/>
            <w:vAlign w:val="center"/>
          </w:tcPr>
          <w:p>
            <w:pPr>
              <w:jc w:val="right"/>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342</w:t>
            </w:r>
          </w:p>
        </w:tc>
        <w:tc>
          <w:tcPr>
            <w:tcW w:w="1325" w:type="dxa"/>
            <w:shd w:val="clear" w:color="auto" w:fill="92CDDC" w:themeFill="accent5" w:themeFillTint="99"/>
            <w:vAlign w:val="center"/>
          </w:tcPr>
          <w:p>
            <w:pPr>
              <w:jc w:val="right"/>
              <w:rPr>
                <w:rFonts w:hint="eastAsia" w:asciiTheme="minorEastAsia" w:hAnsiTheme="minorEastAsia" w:eastAsiaTheme="minorEastAsia"/>
                <w:b/>
                <w:bCs/>
                <w:color w:val="1F497D" w:themeColor="text2"/>
                <w:sz w:val="20"/>
                <w:szCs w:val="20"/>
                <w:highlight w:val="none"/>
                <w:lang w:val="en-US" w:eastAsia="zh-CN"/>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14</w:t>
            </w:r>
          </w:p>
        </w:tc>
        <w:tc>
          <w:tcPr>
            <w:tcW w:w="1188" w:type="dxa"/>
            <w:shd w:val="clear" w:color="auto" w:fill="92CDDC" w:themeFill="accent5" w:themeFillTint="99"/>
            <w:vAlign w:val="center"/>
          </w:tcPr>
          <w:p>
            <w:pPr>
              <w:jc w:val="right"/>
              <w:rPr>
                <w:rFonts w:hint="eastAsia" w:asciiTheme="minorEastAsia" w:hAnsiTheme="minorEastAsia" w:eastAsiaTheme="minorEastAsia"/>
                <w:b/>
                <w:bCs/>
                <w:color w:val="1F497D" w:themeColor="text2"/>
                <w:sz w:val="20"/>
                <w:szCs w:val="20"/>
                <w:highlight w:val="none"/>
                <w:lang w:val="en-US" w:eastAsia="zh-CN"/>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96.07</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125" w:type="dxa"/>
            <w:vMerge w:val="restart"/>
            <w:tcBorders>
              <w:left w:val="single" w:color="FFFFFF" w:themeColor="background1" w:sz="8" w:space="0"/>
              <w:right w:val="single" w:color="FFFFFF" w:themeColor="background1" w:sz="24" w:space="0"/>
              <w:insideH w:val="nil"/>
              <w:insideV w:val="single" w:sz="24" w:space="0"/>
            </w:tcBorders>
            <w:shd w:val="clear" w:color="auto" w:fill="4BACC6" w:themeFill="accent5"/>
            <w:vAlign w:val="center"/>
          </w:tcPr>
          <w:p>
            <w:pPr>
              <w:jc w:val="center"/>
              <w:rPr>
                <w:rFonts w:hint="default" w:cs="Times New Roman" w:asciiTheme="minorEastAsia" w:hAnsiTheme="minorEastAsia" w:eastAsiaTheme="minorEastAsia"/>
                <w:b/>
                <w:bCs/>
                <w:i w:val="0"/>
                <w:iCs w:val="0"/>
                <w:color w:val="FFFFFF" w:themeColor="background1"/>
                <w:kern w:val="2"/>
                <w:sz w:val="20"/>
                <w:szCs w:val="20"/>
                <w:lang w:val="en-US" w:eastAsia="zh-CN" w:bidi="ar-SA"/>
                <w14:textFill>
                  <w14:solidFill>
                    <w14:schemeClr w14:val="bg1"/>
                  </w14:solidFill>
                </w14:textFill>
              </w:rPr>
            </w:pPr>
            <w:r>
              <w:rPr>
                <w:rFonts w:hint="eastAsia" w:cs="Times New Roman" w:asciiTheme="minorEastAsia" w:hAnsiTheme="minorEastAsia" w:eastAsiaTheme="minorEastAsia"/>
                <w:b/>
                <w:bCs/>
                <w:i w:val="0"/>
                <w:iCs w:val="0"/>
                <w:color w:val="FFFFFF" w:themeColor="background1"/>
                <w:kern w:val="2"/>
                <w:sz w:val="20"/>
                <w:szCs w:val="20"/>
                <w:lang w:val="en-US" w:eastAsia="zh-CN" w:bidi="ar-SA"/>
                <w14:textFill>
                  <w14:solidFill>
                    <w14:schemeClr w14:val="bg1"/>
                  </w14:solidFill>
                </w14:textFill>
              </w:rPr>
              <w:t>建筑工程学院</w:t>
            </w:r>
          </w:p>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575" w:type="dxa"/>
            <w:shd w:val="clear" w:color="auto" w:fill="D2EAF0" w:themeFill="accent5" w:themeFillTint="3F"/>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ru-RU"/>
              </w:rPr>
              <w:t>建筑工程技术</w:t>
            </w:r>
          </w:p>
        </w:tc>
        <w:tc>
          <w:tcPr>
            <w:tcW w:w="888" w:type="dxa"/>
            <w:shd w:val="clear" w:color="auto" w:fill="D2EAF0" w:themeFill="accent5" w:themeFillTint="3F"/>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cs="Times New Roman" w:asciiTheme="minorEastAsia" w:hAnsiTheme="minorEastAsia" w:eastAsiaTheme="minorEastAsia"/>
                <w:kern w:val="2"/>
                <w:sz w:val="20"/>
                <w:szCs w:val="20"/>
                <w:lang w:val="en-US" w:eastAsia="zh-CN" w:bidi="ar-SA"/>
              </w:rPr>
              <w:t>496</w:t>
            </w:r>
          </w:p>
        </w:tc>
        <w:tc>
          <w:tcPr>
            <w:tcW w:w="1312" w:type="dxa"/>
            <w:shd w:val="clear" w:color="auto" w:fill="D2EAF0" w:themeFill="accent5" w:themeFillTint="3F"/>
            <w:vAlign w:val="center"/>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466</w:t>
            </w:r>
          </w:p>
        </w:tc>
        <w:tc>
          <w:tcPr>
            <w:tcW w:w="1325" w:type="dxa"/>
            <w:shd w:val="clear" w:color="auto" w:fill="D2EAF0" w:themeFill="accent5" w:themeFillTint="3F"/>
            <w:vAlign w:val="center"/>
          </w:tcPr>
          <w:p>
            <w:pPr>
              <w:jc w:val="center"/>
              <w:rPr>
                <w:rFonts w:hint="eastAsia" w:asciiTheme="minorEastAsia" w:hAnsiTheme="minorEastAsia" w:eastAsiaTheme="minorEastAsia"/>
                <w:sz w:val="20"/>
                <w:szCs w:val="20"/>
                <w:lang w:val="en-US" w:eastAsia="zh-CN"/>
              </w:rPr>
            </w:pPr>
            <w:r>
              <w:rPr>
                <w:rFonts w:hint="eastAsia" w:cs="Times New Roman" w:asciiTheme="minorEastAsia" w:hAnsiTheme="minorEastAsia" w:eastAsiaTheme="minorEastAsia"/>
                <w:kern w:val="2"/>
                <w:sz w:val="20"/>
                <w:szCs w:val="20"/>
                <w:lang w:val="en-US" w:eastAsia="zh-CN" w:bidi="ar-SA"/>
              </w:rPr>
              <w:t>30</w:t>
            </w:r>
          </w:p>
        </w:tc>
        <w:tc>
          <w:tcPr>
            <w:tcW w:w="1188" w:type="dxa"/>
            <w:shd w:val="clear" w:color="auto" w:fill="D2EAF0" w:themeFill="accent5" w:themeFillTint="3F"/>
            <w:vAlign w:val="center"/>
          </w:tcPr>
          <w:p>
            <w:pPr>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93.95</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125"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center"/>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575" w:type="dxa"/>
            <w:shd w:val="clear" w:color="auto" w:fill="92CDDC" w:themeFill="accent5" w:themeFillTint="99"/>
            <w:vAlign w:val="top"/>
          </w:tcPr>
          <w:p>
            <w:pPr>
              <w:jc w:val="center"/>
              <w:rPr>
                <w:rFonts w:hint="eastAsia" w:cs="Times New Roman" w:asciiTheme="minorEastAsia" w:hAnsiTheme="minorEastAsia" w:eastAsiaTheme="minorEastAsia"/>
                <w:kern w:val="2"/>
                <w:sz w:val="20"/>
                <w:szCs w:val="20"/>
                <w:lang w:val="ru-RU" w:eastAsia="zh-CN" w:bidi="ar-SA"/>
              </w:rPr>
            </w:pPr>
            <w:r>
              <w:rPr>
                <w:rFonts w:hint="eastAsia" w:asciiTheme="minorEastAsia" w:hAnsiTheme="minorEastAsia" w:eastAsiaTheme="minorEastAsia"/>
                <w:sz w:val="20"/>
                <w:szCs w:val="20"/>
                <w:lang w:val="ru-RU"/>
              </w:rPr>
              <w:t>工程造价</w:t>
            </w:r>
          </w:p>
        </w:tc>
        <w:tc>
          <w:tcPr>
            <w:tcW w:w="888" w:type="dxa"/>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cs="Times New Roman" w:asciiTheme="minorEastAsia" w:hAnsiTheme="minorEastAsia" w:eastAsiaTheme="minorEastAsia"/>
                <w:kern w:val="2"/>
                <w:sz w:val="20"/>
                <w:szCs w:val="20"/>
                <w:lang w:val="en-US" w:eastAsia="zh-CN" w:bidi="ar-SA"/>
              </w:rPr>
              <w:t>79</w:t>
            </w:r>
          </w:p>
        </w:tc>
        <w:tc>
          <w:tcPr>
            <w:tcW w:w="1312" w:type="dxa"/>
            <w:shd w:val="clear" w:color="auto" w:fill="92CDDC" w:themeFill="accent5" w:themeFillTint="99"/>
            <w:vAlign w:val="center"/>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73</w:t>
            </w:r>
          </w:p>
        </w:tc>
        <w:tc>
          <w:tcPr>
            <w:tcW w:w="1325" w:type="dxa"/>
            <w:shd w:val="clear" w:color="auto" w:fill="92CDDC" w:themeFill="accent5" w:themeFillTint="99"/>
            <w:vAlign w:val="center"/>
          </w:tcPr>
          <w:p>
            <w:pPr>
              <w:jc w:val="center"/>
              <w:rPr>
                <w:rFonts w:hint="eastAsia" w:asciiTheme="minorEastAsia" w:hAnsiTheme="minorEastAsia" w:eastAsiaTheme="minorEastAsia"/>
                <w:sz w:val="20"/>
                <w:szCs w:val="20"/>
                <w:lang w:val="en-US" w:eastAsia="zh-CN"/>
              </w:rPr>
            </w:pPr>
            <w:r>
              <w:rPr>
                <w:rFonts w:hint="eastAsia" w:cs="Times New Roman" w:asciiTheme="minorEastAsia" w:hAnsiTheme="minorEastAsia" w:eastAsiaTheme="minorEastAsia"/>
                <w:kern w:val="2"/>
                <w:sz w:val="20"/>
                <w:szCs w:val="20"/>
                <w:lang w:val="en-US" w:eastAsia="zh-CN" w:bidi="ar-SA"/>
              </w:rPr>
              <w:t>6</w:t>
            </w:r>
          </w:p>
        </w:tc>
        <w:tc>
          <w:tcPr>
            <w:tcW w:w="1188" w:type="dxa"/>
            <w:shd w:val="clear" w:color="auto" w:fill="92CDDC" w:themeFill="accent5" w:themeFillTint="99"/>
            <w:vAlign w:val="center"/>
          </w:tcPr>
          <w:p>
            <w:pPr>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92.41</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rPr>
          <w:trHeight w:val="90" w:hRule="atLeast"/>
        </w:trPr>
        <w:tc>
          <w:tcPr>
            <w:tcW w:w="2125"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top"/>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575"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建筑装饰工程技术</w:t>
            </w:r>
          </w:p>
        </w:tc>
        <w:tc>
          <w:tcPr>
            <w:tcW w:w="888"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cs="Times New Roman" w:asciiTheme="minorEastAsia" w:hAnsiTheme="minorEastAsia" w:eastAsiaTheme="minorEastAsia"/>
                <w:kern w:val="2"/>
                <w:sz w:val="20"/>
                <w:szCs w:val="20"/>
                <w:lang w:val="en-US" w:eastAsia="zh-CN" w:bidi="ar-SA"/>
              </w:rPr>
              <w:t>143</w:t>
            </w:r>
          </w:p>
        </w:tc>
        <w:tc>
          <w:tcPr>
            <w:tcW w:w="131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center"/>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141</w:t>
            </w:r>
          </w:p>
        </w:tc>
        <w:tc>
          <w:tcPr>
            <w:tcW w:w="1325"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center"/>
          </w:tcPr>
          <w:p>
            <w:pPr>
              <w:jc w:val="center"/>
              <w:rPr>
                <w:rFonts w:hint="eastAsia" w:asciiTheme="minorEastAsia" w:hAnsiTheme="minorEastAsia" w:eastAsiaTheme="minorEastAsia"/>
                <w:sz w:val="20"/>
                <w:szCs w:val="20"/>
                <w:lang w:val="en-US" w:eastAsia="zh-CN"/>
              </w:rPr>
            </w:pPr>
            <w:r>
              <w:rPr>
                <w:rFonts w:hint="eastAsia" w:cs="Times New Roman" w:asciiTheme="minorEastAsia" w:hAnsiTheme="minorEastAsia" w:eastAsiaTheme="minorEastAsia"/>
                <w:kern w:val="2"/>
                <w:sz w:val="20"/>
                <w:szCs w:val="20"/>
                <w:lang w:val="en-US" w:eastAsia="zh-CN" w:bidi="ar-SA"/>
              </w:rPr>
              <w:t>2</w:t>
            </w:r>
          </w:p>
        </w:tc>
        <w:tc>
          <w:tcPr>
            <w:tcW w:w="1188"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center"/>
          </w:tcPr>
          <w:p>
            <w:pPr>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98.60</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125"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top"/>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575" w:type="dxa"/>
            <w:shd w:val="clear" w:color="auto" w:fill="92CDDC" w:themeFill="accent5" w:themeFillTint="99"/>
            <w:vAlign w:val="top"/>
          </w:tcPr>
          <w:p>
            <w:pPr>
              <w:jc w:val="right"/>
              <w:rPr>
                <w:rFonts w:hint="default" w:cs="Times New Roman" w:asciiTheme="minorEastAsia" w:hAnsiTheme="minorEastAsia" w:eastAsiaTheme="minorEastAsia"/>
                <w:kern w:val="2"/>
                <w:sz w:val="20"/>
                <w:szCs w:val="20"/>
                <w:highlight w:val="none"/>
                <w:lang w:val="en-US" w:eastAsia="zh-CN" w:bidi="ar-SA"/>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建筑工程学院 汇总</w:t>
            </w:r>
          </w:p>
        </w:tc>
        <w:tc>
          <w:tcPr>
            <w:tcW w:w="888" w:type="dxa"/>
            <w:shd w:val="clear" w:color="auto" w:fill="92CDDC" w:themeFill="accent5" w:themeFillTint="99"/>
            <w:vAlign w:val="top"/>
          </w:tcPr>
          <w:p>
            <w:pPr>
              <w:jc w:val="right"/>
              <w:rPr>
                <w:rFonts w:hint="default" w:cs="Times New Roman" w:asciiTheme="minorEastAsia" w:hAnsiTheme="minorEastAsia" w:eastAsiaTheme="minorEastAsia"/>
                <w:kern w:val="2"/>
                <w:sz w:val="20"/>
                <w:szCs w:val="20"/>
                <w:highlight w:val="none"/>
                <w:lang w:val="en-US" w:eastAsia="zh-CN" w:bidi="ar-SA"/>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718</w:t>
            </w:r>
          </w:p>
        </w:tc>
        <w:tc>
          <w:tcPr>
            <w:tcW w:w="1312" w:type="dxa"/>
            <w:shd w:val="clear" w:color="auto" w:fill="92CDDC" w:themeFill="accent5" w:themeFillTint="99"/>
            <w:vAlign w:val="center"/>
          </w:tcPr>
          <w:p>
            <w:pPr>
              <w:jc w:val="right"/>
              <w:rPr>
                <w:rFonts w:hint="default" w:cs="Times New Roman" w:asciiTheme="minorEastAsia" w:hAnsiTheme="minorEastAsia" w:eastAsiaTheme="minorEastAsia"/>
                <w:kern w:val="2"/>
                <w:sz w:val="20"/>
                <w:szCs w:val="20"/>
                <w:highlight w:val="none"/>
                <w:lang w:val="en-US" w:eastAsia="zh-CN" w:bidi="ar-SA"/>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680</w:t>
            </w:r>
          </w:p>
        </w:tc>
        <w:tc>
          <w:tcPr>
            <w:tcW w:w="1325" w:type="dxa"/>
            <w:shd w:val="clear" w:color="auto" w:fill="92CDDC" w:themeFill="accent5" w:themeFillTint="99"/>
            <w:vAlign w:val="center"/>
          </w:tcPr>
          <w:p>
            <w:pPr>
              <w:jc w:val="right"/>
              <w:rPr>
                <w:rFonts w:hint="eastAsia" w:asciiTheme="minorEastAsia" w:hAnsiTheme="minorEastAsia" w:eastAsiaTheme="minorEastAsia"/>
                <w:b/>
                <w:bCs/>
                <w:color w:val="1F497D" w:themeColor="text2"/>
                <w:sz w:val="20"/>
                <w:szCs w:val="20"/>
                <w:highlight w:val="none"/>
                <w:lang w:val="en-US" w:eastAsia="zh-CN"/>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38</w:t>
            </w:r>
          </w:p>
        </w:tc>
        <w:tc>
          <w:tcPr>
            <w:tcW w:w="1188" w:type="dxa"/>
            <w:shd w:val="clear" w:color="auto" w:fill="92CDDC" w:themeFill="accent5" w:themeFillTint="99"/>
            <w:vAlign w:val="center"/>
          </w:tcPr>
          <w:p>
            <w:pPr>
              <w:jc w:val="right"/>
              <w:rPr>
                <w:rFonts w:hint="eastAsia" w:asciiTheme="minorEastAsia" w:hAnsiTheme="minorEastAsia" w:eastAsiaTheme="minorEastAsia"/>
                <w:b/>
                <w:bCs/>
                <w:color w:val="1F497D" w:themeColor="text2"/>
                <w:sz w:val="20"/>
                <w:szCs w:val="20"/>
                <w:highlight w:val="none"/>
                <w:lang w:val="en-US" w:eastAsia="zh-CN"/>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94.71</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125" w:type="dxa"/>
            <w:vMerge w:val="restart"/>
            <w:tcBorders>
              <w:left w:val="single" w:color="FFFFFF" w:themeColor="background1" w:sz="8" w:space="0"/>
              <w:right w:val="single" w:color="FFFFFF" w:themeColor="background1" w:sz="24" w:space="0"/>
              <w:insideH w:val="nil"/>
              <w:insideV w:val="single" w:sz="24" w:space="0"/>
            </w:tcBorders>
            <w:shd w:val="clear" w:color="auto" w:fill="4BACC6" w:themeFill="accent5"/>
            <w:vAlign w:val="center"/>
          </w:tcPr>
          <w:p>
            <w:pPr>
              <w:jc w:val="center"/>
              <w:rPr>
                <w:rFonts w:hint="default" w:cs="Times New Roman" w:asciiTheme="minorEastAsia" w:hAnsiTheme="minorEastAsia" w:eastAsiaTheme="minorEastAsia"/>
                <w:b/>
                <w:bCs/>
                <w:i w:val="0"/>
                <w:iCs w:val="0"/>
                <w:color w:val="FFFFFF" w:themeColor="background1"/>
                <w:kern w:val="2"/>
                <w:sz w:val="20"/>
                <w:szCs w:val="20"/>
                <w:lang w:val="en-US" w:eastAsia="zh-CN" w:bidi="ar-SA"/>
                <w14:textFill>
                  <w14:solidFill>
                    <w14:schemeClr w14:val="bg1"/>
                  </w14:solidFill>
                </w14:textFill>
              </w:rPr>
            </w:pPr>
            <w:r>
              <w:rPr>
                <w:rFonts w:hint="eastAsia" w:cs="Times New Roman" w:asciiTheme="minorEastAsia" w:hAnsiTheme="minorEastAsia" w:eastAsiaTheme="minorEastAsia"/>
                <w:b/>
                <w:bCs/>
                <w:i w:val="0"/>
                <w:iCs w:val="0"/>
                <w:color w:val="FFFFFF" w:themeColor="background1"/>
                <w:kern w:val="2"/>
                <w:sz w:val="20"/>
                <w:szCs w:val="20"/>
                <w:lang w:val="en-US" w:eastAsia="zh-CN" w:bidi="ar-SA"/>
                <w14:textFill>
                  <w14:solidFill>
                    <w14:schemeClr w14:val="bg1"/>
                  </w14:solidFill>
                </w14:textFill>
              </w:rPr>
              <w:t>信息技术学院</w:t>
            </w:r>
          </w:p>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575" w:type="dxa"/>
            <w:shd w:val="clear" w:color="auto" w:fill="D2EAF0" w:themeFill="accent5" w:themeFillTint="3F"/>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ru-RU"/>
              </w:rPr>
              <w:t>计算机应用技术</w:t>
            </w:r>
          </w:p>
        </w:tc>
        <w:tc>
          <w:tcPr>
            <w:tcW w:w="888" w:type="dxa"/>
            <w:shd w:val="clear" w:color="auto" w:fill="D2EAF0" w:themeFill="accent5" w:themeFillTint="3F"/>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477</w:t>
            </w:r>
          </w:p>
        </w:tc>
        <w:tc>
          <w:tcPr>
            <w:tcW w:w="1312" w:type="dxa"/>
            <w:shd w:val="clear" w:color="auto" w:fill="D2EAF0" w:themeFill="accent5" w:themeFillTint="3F"/>
            <w:vAlign w:val="center"/>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468</w:t>
            </w:r>
          </w:p>
        </w:tc>
        <w:tc>
          <w:tcPr>
            <w:tcW w:w="1325" w:type="dxa"/>
            <w:shd w:val="clear" w:color="auto" w:fill="D2EAF0" w:themeFill="accent5" w:themeFillTint="3F"/>
            <w:vAlign w:val="center"/>
          </w:tcPr>
          <w:p>
            <w:pPr>
              <w:jc w:val="center"/>
              <w:rPr>
                <w:rFonts w:hint="eastAsia" w:asciiTheme="minorEastAsia" w:hAnsiTheme="minorEastAsia" w:eastAsiaTheme="minorEastAsia"/>
                <w:sz w:val="20"/>
                <w:szCs w:val="20"/>
                <w:lang w:val="en-US" w:eastAsia="zh-CN"/>
              </w:rPr>
            </w:pPr>
            <w:r>
              <w:rPr>
                <w:rFonts w:hint="eastAsia" w:cs="Times New Roman" w:asciiTheme="minorEastAsia" w:hAnsiTheme="minorEastAsia" w:eastAsiaTheme="minorEastAsia"/>
                <w:kern w:val="2"/>
                <w:sz w:val="20"/>
                <w:szCs w:val="20"/>
                <w:lang w:val="en-US" w:eastAsia="zh-CN" w:bidi="ar-SA"/>
              </w:rPr>
              <w:t>9</w:t>
            </w:r>
          </w:p>
        </w:tc>
        <w:tc>
          <w:tcPr>
            <w:tcW w:w="1188" w:type="dxa"/>
            <w:shd w:val="clear" w:color="auto" w:fill="D2EAF0" w:themeFill="accent5" w:themeFillTint="3F"/>
            <w:vAlign w:val="center"/>
          </w:tcPr>
          <w:p>
            <w:pPr>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98.11</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125"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center"/>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575" w:type="dxa"/>
            <w:shd w:val="clear" w:color="auto" w:fill="92CDDC" w:themeFill="accent5" w:themeFillTint="99"/>
            <w:vAlign w:val="top"/>
          </w:tcPr>
          <w:p>
            <w:pPr>
              <w:jc w:val="center"/>
              <w:rPr>
                <w:rFonts w:hint="eastAsia" w:cs="Times New Roman" w:asciiTheme="minorEastAsia" w:hAnsiTheme="minorEastAsia" w:eastAsiaTheme="minorEastAsia"/>
                <w:kern w:val="2"/>
                <w:sz w:val="20"/>
                <w:szCs w:val="20"/>
                <w:lang w:val="ru-RU" w:eastAsia="zh-CN" w:bidi="ar-SA"/>
              </w:rPr>
            </w:pPr>
            <w:r>
              <w:rPr>
                <w:rFonts w:hint="eastAsia" w:asciiTheme="minorEastAsia" w:hAnsiTheme="minorEastAsia" w:eastAsiaTheme="minorEastAsia"/>
                <w:sz w:val="20"/>
                <w:szCs w:val="20"/>
                <w:lang w:val="en-US" w:eastAsia="zh-CN"/>
              </w:rPr>
              <w:t>计算机网络技术</w:t>
            </w:r>
          </w:p>
        </w:tc>
        <w:tc>
          <w:tcPr>
            <w:tcW w:w="888" w:type="dxa"/>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79</w:t>
            </w:r>
          </w:p>
        </w:tc>
        <w:tc>
          <w:tcPr>
            <w:tcW w:w="1312" w:type="dxa"/>
            <w:shd w:val="clear" w:color="auto" w:fill="92CDDC" w:themeFill="accent5" w:themeFillTint="99"/>
            <w:vAlign w:val="center"/>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76</w:t>
            </w:r>
          </w:p>
        </w:tc>
        <w:tc>
          <w:tcPr>
            <w:tcW w:w="1325" w:type="dxa"/>
            <w:shd w:val="clear" w:color="auto" w:fill="92CDDC" w:themeFill="accent5" w:themeFillTint="99"/>
            <w:vAlign w:val="center"/>
          </w:tcPr>
          <w:p>
            <w:pPr>
              <w:jc w:val="center"/>
              <w:rPr>
                <w:rFonts w:hint="eastAsia" w:asciiTheme="minorEastAsia" w:hAnsiTheme="minorEastAsia" w:eastAsiaTheme="minorEastAsia"/>
                <w:sz w:val="20"/>
                <w:szCs w:val="20"/>
                <w:lang w:val="en-US" w:eastAsia="zh-CN"/>
              </w:rPr>
            </w:pPr>
            <w:r>
              <w:rPr>
                <w:rFonts w:hint="eastAsia" w:cs="Times New Roman" w:asciiTheme="minorEastAsia" w:hAnsiTheme="minorEastAsia" w:eastAsiaTheme="minorEastAsia"/>
                <w:kern w:val="2"/>
                <w:sz w:val="20"/>
                <w:szCs w:val="20"/>
                <w:lang w:val="en-US" w:eastAsia="zh-CN" w:bidi="ar-SA"/>
              </w:rPr>
              <w:t>3</w:t>
            </w:r>
          </w:p>
        </w:tc>
        <w:tc>
          <w:tcPr>
            <w:tcW w:w="1188" w:type="dxa"/>
            <w:shd w:val="clear" w:color="auto" w:fill="92CDDC" w:themeFill="accent5" w:themeFillTint="99"/>
            <w:vAlign w:val="center"/>
          </w:tcPr>
          <w:p>
            <w:pPr>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96.20</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125"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top"/>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575"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ru-RU"/>
              </w:rPr>
              <w:t>移动互联</w:t>
            </w:r>
            <w:r>
              <w:rPr>
                <w:rFonts w:hint="eastAsia" w:asciiTheme="minorEastAsia" w:hAnsiTheme="minorEastAsia" w:eastAsiaTheme="minorEastAsia"/>
                <w:sz w:val="20"/>
                <w:szCs w:val="20"/>
                <w:lang w:val="en-US" w:eastAsia="zh-CN"/>
              </w:rPr>
              <w:t>应用</w:t>
            </w:r>
            <w:r>
              <w:rPr>
                <w:rFonts w:hint="eastAsia" w:asciiTheme="minorEastAsia" w:hAnsiTheme="minorEastAsia" w:eastAsiaTheme="minorEastAsia"/>
                <w:sz w:val="20"/>
                <w:szCs w:val="20"/>
                <w:lang w:val="ru-RU"/>
              </w:rPr>
              <w:t>技术</w:t>
            </w:r>
          </w:p>
        </w:tc>
        <w:tc>
          <w:tcPr>
            <w:tcW w:w="888"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40</w:t>
            </w:r>
          </w:p>
        </w:tc>
        <w:tc>
          <w:tcPr>
            <w:tcW w:w="131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center"/>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38</w:t>
            </w:r>
          </w:p>
        </w:tc>
        <w:tc>
          <w:tcPr>
            <w:tcW w:w="1325"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center"/>
          </w:tcPr>
          <w:p>
            <w:pPr>
              <w:jc w:val="center"/>
              <w:rPr>
                <w:rFonts w:hint="eastAsia" w:asciiTheme="minorEastAsia" w:hAnsiTheme="minorEastAsia" w:eastAsiaTheme="minorEastAsia"/>
                <w:sz w:val="20"/>
                <w:szCs w:val="20"/>
                <w:lang w:val="en-US" w:eastAsia="zh-CN"/>
              </w:rPr>
            </w:pPr>
            <w:r>
              <w:rPr>
                <w:rFonts w:hint="eastAsia" w:cs="Times New Roman" w:asciiTheme="minorEastAsia" w:hAnsiTheme="minorEastAsia" w:eastAsiaTheme="minorEastAsia"/>
                <w:kern w:val="2"/>
                <w:sz w:val="20"/>
                <w:szCs w:val="20"/>
                <w:lang w:val="en-US" w:eastAsia="zh-CN" w:bidi="ar-SA"/>
              </w:rPr>
              <w:t>2</w:t>
            </w:r>
          </w:p>
        </w:tc>
        <w:tc>
          <w:tcPr>
            <w:tcW w:w="1188"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center"/>
          </w:tcPr>
          <w:p>
            <w:pPr>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95.00</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125"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top"/>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575" w:type="dxa"/>
            <w:shd w:val="clear" w:color="auto" w:fill="92CDDC" w:themeFill="accent5" w:themeFillTint="99"/>
            <w:vAlign w:val="top"/>
          </w:tcPr>
          <w:p>
            <w:pPr>
              <w:jc w:val="right"/>
              <w:rPr>
                <w:rFonts w:hint="default" w:cs="Times New Roman" w:asciiTheme="minorEastAsia" w:hAnsiTheme="minorEastAsia" w:eastAsiaTheme="minorEastAsia"/>
                <w:kern w:val="2"/>
                <w:sz w:val="20"/>
                <w:szCs w:val="20"/>
                <w:highlight w:val="none"/>
                <w:lang w:val="en-US" w:eastAsia="zh-CN" w:bidi="ar-SA"/>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信息技术学院 汇总</w:t>
            </w:r>
          </w:p>
        </w:tc>
        <w:tc>
          <w:tcPr>
            <w:tcW w:w="888" w:type="dxa"/>
            <w:shd w:val="clear" w:color="auto" w:fill="92CDDC" w:themeFill="accent5" w:themeFillTint="99"/>
            <w:vAlign w:val="top"/>
          </w:tcPr>
          <w:p>
            <w:pPr>
              <w:jc w:val="right"/>
              <w:rPr>
                <w:rFonts w:hint="default" w:cs="Times New Roman" w:asciiTheme="minorEastAsia" w:hAnsiTheme="minorEastAsia" w:eastAsiaTheme="minorEastAsia"/>
                <w:kern w:val="2"/>
                <w:sz w:val="20"/>
                <w:szCs w:val="20"/>
                <w:highlight w:val="none"/>
                <w:lang w:val="en-US" w:eastAsia="zh-CN" w:bidi="ar-SA"/>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596</w:t>
            </w:r>
          </w:p>
        </w:tc>
        <w:tc>
          <w:tcPr>
            <w:tcW w:w="1312" w:type="dxa"/>
            <w:shd w:val="clear" w:color="auto" w:fill="92CDDC" w:themeFill="accent5" w:themeFillTint="99"/>
            <w:vAlign w:val="center"/>
          </w:tcPr>
          <w:p>
            <w:pPr>
              <w:jc w:val="right"/>
              <w:rPr>
                <w:rFonts w:hint="default" w:cs="Times New Roman" w:asciiTheme="minorEastAsia" w:hAnsiTheme="minorEastAsia" w:eastAsiaTheme="minorEastAsia"/>
                <w:kern w:val="2"/>
                <w:sz w:val="20"/>
                <w:szCs w:val="20"/>
                <w:highlight w:val="none"/>
                <w:lang w:val="en-US" w:eastAsia="zh-CN" w:bidi="ar-SA"/>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582</w:t>
            </w:r>
          </w:p>
        </w:tc>
        <w:tc>
          <w:tcPr>
            <w:tcW w:w="1325" w:type="dxa"/>
            <w:shd w:val="clear" w:color="auto" w:fill="92CDDC" w:themeFill="accent5" w:themeFillTint="99"/>
            <w:vAlign w:val="center"/>
          </w:tcPr>
          <w:p>
            <w:pPr>
              <w:jc w:val="right"/>
              <w:rPr>
                <w:rFonts w:hint="eastAsia" w:asciiTheme="minorEastAsia" w:hAnsiTheme="minorEastAsia" w:eastAsiaTheme="minorEastAsia"/>
                <w:b/>
                <w:bCs/>
                <w:color w:val="1F497D" w:themeColor="text2"/>
                <w:sz w:val="20"/>
                <w:szCs w:val="20"/>
                <w:highlight w:val="none"/>
                <w:lang w:val="en-US" w:eastAsia="zh-CN"/>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14</w:t>
            </w:r>
          </w:p>
        </w:tc>
        <w:tc>
          <w:tcPr>
            <w:tcW w:w="1188" w:type="dxa"/>
            <w:shd w:val="clear" w:color="auto" w:fill="92CDDC" w:themeFill="accent5" w:themeFillTint="99"/>
            <w:vAlign w:val="center"/>
          </w:tcPr>
          <w:p>
            <w:pPr>
              <w:jc w:val="right"/>
              <w:rPr>
                <w:rFonts w:hint="eastAsia" w:asciiTheme="minorEastAsia" w:hAnsiTheme="minorEastAsia" w:eastAsiaTheme="minorEastAsia"/>
                <w:b/>
                <w:bCs/>
                <w:color w:val="1F497D" w:themeColor="text2"/>
                <w:sz w:val="20"/>
                <w:szCs w:val="20"/>
                <w:highlight w:val="none"/>
                <w:lang w:val="en-US" w:eastAsia="zh-CN"/>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97.65</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125" w:type="dxa"/>
            <w:tcBorders>
              <w:top w:val="single" w:color="FFFFFF" w:themeColor="background1" w:sz="8" w:space="0"/>
              <w:left w:val="single" w:color="FFFFFF" w:themeColor="background1" w:sz="8" w:space="0"/>
              <w:bottom w:val="single" w:color="FFFFFF" w:themeColor="background1" w:sz="8" w:space="0"/>
              <w:right w:val="single" w:color="FFFFFF" w:themeColor="background1" w:sz="24" w:space="0"/>
              <w:insideH w:val="single" w:sz="8" w:space="0"/>
              <w:insideV w:val="single" w:sz="24" w:space="0"/>
            </w:tcBorders>
            <w:shd w:val="clear" w:color="auto" w:fill="4BACC6" w:themeFill="accent5"/>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t>总计</w:t>
            </w:r>
          </w:p>
        </w:tc>
        <w:tc>
          <w:tcPr>
            <w:tcW w:w="2575"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cPr>
          <w:p>
            <w:pPr>
              <w:jc w:val="center"/>
              <w:rPr>
                <w:rFonts w:asciiTheme="minorEastAsia" w:hAnsiTheme="minorEastAsia" w:eastAsiaTheme="minorEastAsia"/>
                <w:sz w:val="20"/>
                <w:szCs w:val="20"/>
                <w:lang w:val="ru-RU"/>
              </w:rPr>
            </w:pPr>
          </w:p>
        </w:tc>
        <w:tc>
          <w:tcPr>
            <w:tcW w:w="888"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cPr>
          <w:p>
            <w:pPr>
              <w:jc w:val="center"/>
              <w:rPr>
                <w:rFonts w:hint="default" w:asciiTheme="minorEastAsia" w:hAnsiTheme="minorEastAsia" w:eastAsiaTheme="minorEastAsia"/>
                <w:b/>
                <w:bCs/>
                <w:sz w:val="20"/>
                <w:szCs w:val="20"/>
                <w:lang w:val="en-US" w:eastAsia="zh-CN"/>
              </w:rPr>
            </w:pPr>
            <w:r>
              <w:rPr>
                <w:rFonts w:hint="eastAsia" w:asciiTheme="minorEastAsia" w:hAnsiTheme="minorEastAsia" w:eastAsiaTheme="minorEastAsia"/>
                <w:b/>
                <w:bCs/>
                <w:sz w:val="20"/>
                <w:szCs w:val="20"/>
                <w:lang w:val="en-US" w:eastAsia="zh-CN"/>
              </w:rPr>
              <w:t>4022</w:t>
            </w:r>
          </w:p>
        </w:tc>
        <w:tc>
          <w:tcPr>
            <w:tcW w:w="131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cPr>
          <w:p>
            <w:pPr>
              <w:jc w:val="center"/>
              <w:rPr>
                <w:rFonts w:hint="default" w:asciiTheme="minorEastAsia" w:hAnsiTheme="minorEastAsia" w:eastAsiaTheme="minorEastAsia"/>
                <w:b/>
                <w:bCs/>
                <w:sz w:val="20"/>
                <w:szCs w:val="20"/>
                <w:lang w:val="en-US" w:eastAsia="zh-CN"/>
              </w:rPr>
            </w:pPr>
            <w:r>
              <w:rPr>
                <w:rFonts w:hint="eastAsia" w:asciiTheme="minorEastAsia" w:hAnsiTheme="minorEastAsia" w:eastAsiaTheme="minorEastAsia"/>
                <w:b/>
                <w:bCs/>
                <w:sz w:val="20"/>
                <w:szCs w:val="20"/>
                <w:lang w:val="en-US" w:eastAsia="zh-CN"/>
              </w:rPr>
              <w:t>3485</w:t>
            </w:r>
          </w:p>
        </w:tc>
        <w:tc>
          <w:tcPr>
            <w:tcW w:w="1325"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b/>
                <w:bCs/>
                <w:sz w:val="20"/>
                <w:szCs w:val="20"/>
                <w:lang w:val="en-US" w:eastAsia="zh-CN"/>
              </w:rPr>
              <w:t>177</w:t>
            </w:r>
          </w:p>
        </w:tc>
        <w:tc>
          <w:tcPr>
            <w:tcW w:w="1188"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cPr>
          <w:p>
            <w:pPr>
              <w:jc w:val="center"/>
              <w:rPr>
                <w:rFonts w:hint="default" w:asciiTheme="minorEastAsia" w:hAnsiTheme="minorEastAsia" w:eastAsiaTheme="minorEastAsia"/>
                <w:b/>
                <w:bCs/>
                <w:sz w:val="20"/>
                <w:szCs w:val="20"/>
                <w:lang w:val="en-US" w:eastAsia="zh-CN"/>
              </w:rPr>
            </w:pPr>
            <w:r>
              <w:rPr>
                <w:rFonts w:hint="eastAsia" w:asciiTheme="minorEastAsia" w:hAnsiTheme="minorEastAsia" w:eastAsiaTheme="minorEastAsia"/>
                <w:b/>
                <w:bCs/>
                <w:sz w:val="20"/>
                <w:szCs w:val="20"/>
                <w:lang w:val="en-US" w:eastAsia="zh-CN"/>
              </w:rPr>
              <w:t>95.60</w:t>
            </w:r>
          </w:p>
        </w:tc>
      </w:tr>
    </w:tbl>
    <w:p>
      <w:pPr>
        <w:pStyle w:val="10"/>
        <w:ind w:left="0" w:leftChars="0" w:firstLine="0" w:firstLineChars="0"/>
        <w:rPr>
          <w:lang w:val="ru-RU"/>
        </w:rPr>
      </w:pPr>
    </w:p>
    <w:p>
      <w:pPr>
        <w:jc w:val="both"/>
        <w:rPr>
          <w:sz w:val="36"/>
          <w:szCs w:val="36"/>
          <w:highlight w:val="none"/>
          <w:lang w:val="ru-RU"/>
        </w:rPr>
      </w:pPr>
    </w:p>
    <w:p>
      <w:pPr>
        <w:jc w:val="both"/>
        <w:rPr>
          <w:sz w:val="36"/>
          <w:szCs w:val="36"/>
          <w:lang w:val="ru-RU"/>
        </w:rPr>
      </w:pPr>
    </w:p>
    <w:p>
      <w:pPr>
        <w:jc w:val="both"/>
        <w:rPr>
          <w:sz w:val="36"/>
          <w:szCs w:val="36"/>
          <w:lang w:val="ru-RU"/>
        </w:rPr>
      </w:pPr>
    </w:p>
    <w:p>
      <w:pPr>
        <w:jc w:val="both"/>
        <w:rPr>
          <w:sz w:val="36"/>
          <w:szCs w:val="36"/>
          <w:lang w:val="ru-RU"/>
        </w:rPr>
      </w:pPr>
    </w:p>
    <w:p>
      <w:pPr>
        <w:jc w:val="both"/>
        <w:rPr>
          <w:sz w:val="36"/>
          <w:szCs w:val="36"/>
          <w:lang w:val="ru-RU"/>
        </w:rPr>
      </w:pPr>
    </w:p>
    <w:p>
      <w:pPr>
        <w:jc w:val="both"/>
        <w:rPr>
          <w:sz w:val="36"/>
          <w:szCs w:val="36"/>
          <w:lang w:val="ru-RU"/>
        </w:rPr>
      </w:pPr>
    </w:p>
    <w:p>
      <w:pPr>
        <w:jc w:val="both"/>
        <w:rPr>
          <w:sz w:val="36"/>
          <w:szCs w:val="36"/>
          <w:lang w:val="ru-RU"/>
        </w:rPr>
      </w:pPr>
    </w:p>
    <w:p>
      <w:pPr>
        <w:jc w:val="both"/>
        <w:rPr>
          <w:sz w:val="36"/>
          <w:szCs w:val="36"/>
          <w:lang w:val="ru-RU"/>
        </w:rPr>
      </w:pPr>
    </w:p>
    <w:p>
      <w:pPr>
        <w:rPr>
          <w:lang w:val="ru-RU"/>
        </w:rPr>
      </w:pPr>
    </w:p>
    <w:p>
      <w:pPr>
        <w:pStyle w:val="6"/>
        <w:rPr>
          <w:lang w:val="ru-RU"/>
        </w:rPr>
      </w:pPr>
    </w:p>
    <w:p>
      <w:pPr>
        <w:pStyle w:val="2"/>
        <w:rPr>
          <w:lang w:val="ru-RU"/>
        </w:rPr>
      </w:pPr>
    </w:p>
    <w:p>
      <w:pPr>
        <w:rPr>
          <w:lang w:val="ru-RU"/>
        </w:rPr>
      </w:pPr>
    </w:p>
    <w:p>
      <w:pPr>
        <w:pStyle w:val="6"/>
        <w:rPr>
          <w:lang w:val="ru-RU"/>
        </w:rPr>
      </w:pPr>
    </w:p>
    <w:p>
      <w:pPr>
        <w:pStyle w:val="2"/>
        <w:rPr>
          <w:lang w:val="ru-RU"/>
        </w:rPr>
      </w:pPr>
    </w:p>
    <w:p>
      <w:pPr>
        <w:rPr>
          <w:lang w:val="ru-RU"/>
        </w:rPr>
      </w:pPr>
    </w:p>
    <w:p>
      <w:pPr>
        <w:pStyle w:val="6"/>
        <w:rPr>
          <w:lang w:val="ru-RU"/>
        </w:rPr>
      </w:pPr>
    </w:p>
    <w:p>
      <w:pPr>
        <w:pStyle w:val="2"/>
        <w:rPr>
          <w:lang w:val="ru-RU"/>
        </w:rPr>
      </w:pPr>
    </w:p>
    <w:p>
      <w:pPr>
        <w:numPr>
          <w:ilvl w:val="0"/>
          <w:numId w:val="1"/>
        </w:numPr>
        <w:ind w:left="0" w:leftChars="0" w:firstLine="0" w:firstLineChars="0"/>
        <w:jc w:val="center"/>
        <w:rPr>
          <w:rFonts w:hint="eastAsia"/>
          <w:sz w:val="36"/>
          <w:szCs w:val="36"/>
          <w:highlight w:val="none"/>
          <w:lang w:val="ru-RU" w:eastAsia="zh-CN"/>
        </w:rPr>
      </w:pPr>
      <w:r>
        <w:rPr>
          <w:rFonts w:hint="eastAsia"/>
          <w:sz w:val="36"/>
          <w:szCs w:val="36"/>
          <w:highlight w:val="none"/>
          <w:lang w:val="en-US" w:eastAsia="zh-CN"/>
        </w:rPr>
        <w:t>毕业生就业单位情况</w:t>
      </w:r>
    </w:p>
    <w:p>
      <w:pPr>
        <w:ind w:firstLine="0" w:firstLineChars="0"/>
        <w:jc w:val="left"/>
        <w:rPr>
          <w:rFonts w:hint="default" w:eastAsia="宋体"/>
          <w:sz w:val="28"/>
          <w:szCs w:val="28"/>
          <w:highlight w:val="none"/>
          <w:lang w:val="en-US" w:eastAsia="zh-CN"/>
        </w:rPr>
      </w:pPr>
      <w:r>
        <w:rPr>
          <w:rFonts w:hint="eastAsia"/>
          <w:sz w:val="28"/>
          <w:szCs w:val="28"/>
          <w:highlight w:val="none"/>
          <w:lang w:val="en-US" w:eastAsia="zh-CN"/>
        </w:rPr>
        <w:t>一、总体就业行业结构</w:t>
      </w:r>
    </w:p>
    <w:p>
      <w:pPr>
        <w:ind w:firstLine="560" w:firstLineChars="200"/>
        <w:jc w:val="left"/>
        <w:rPr>
          <w:rFonts w:hint="eastAsia"/>
          <w:lang w:val="en-US" w:eastAsia="zh-CN"/>
        </w:rPr>
      </w:pPr>
      <w:r>
        <w:rPr>
          <w:rFonts w:hint="eastAsia"/>
          <w:sz w:val="28"/>
          <w:szCs w:val="28"/>
          <w:highlight w:val="none"/>
          <w:lang w:val="en-US" w:eastAsia="zh-CN"/>
        </w:rPr>
        <w:t>按国家统计局国民经济行业分类标准，2023届毕业生就业行业主要集中在“制造业”（481人，占比14.82%）、“居民服务、修理和其他服务业”（404人，占比12.45%）、“信息传输、软件和信息技术服务业”（386人，占比11.89%）。</w:t>
      </w:r>
    </w:p>
    <w:p>
      <w:pPr>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表 2-</w:t>
      </w:r>
      <w:r>
        <w:rPr>
          <w:rFonts w:hint="eastAsia" w:asciiTheme="minorEastAsia" w:hAnsiTheme="minorEastAsia" w:eastAsiaTheme="minorEastAsia"/>
          <w:sz w:val="20"/>
          <w:szCs w:val="20"/>
          <w:highlight w:val="none"/>
          <w:lang w:val="en-US" w:eastAsia="zh-CN"/>
        </w:rPr>
        <w:t>1</w:t>
      </w:r>
      <w:r>
        <w:rPr>
          <w:rFonts w:hint="eastAsia" w:asciiTheme="minorEastAsia" w:hAnsiTheme="minorEastAsia" w:eastAsiaTheme="minorEastAsia"/>
          <w:sz w:val="20"/>
          <w:szCs w:val="20"/>
          <w:lang w:val="en-US" w:eastAsia="zh-CN"/>
        </w:rPr>
        <w:t xml:space="preserve">  </w:t>
      </w:r>
      <w:r>
        <w:rPr>
          <w:rFonts w:hint="eastAsia" w:asciiTheme="minorEastAsia" w:hAnsiTheme="minorEastAsia" w:eastAsiaTheme="minorEastAsia"/>
          <w:sz w:val="20"/>
          <w:szCs w:val="20"/>
          <w:highlight w:val="none"/>
          <w:lang w:val="en-US" w:eastAsia="zh-CN"/>
        </w:rPr>
        <w:t>2023届已就业毕业生行业分布</w:t>
      </w:r>
    </w:p>
    <w:p>
      <w:pPr>
        <w:jc w:val="right"/>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单位：人数（人）、比例（%）</w:t>
      </w:r>
    </w:p>
    <w:tbl>
      <w:tblPr>
        <w:tblStyle w:val="14"/>
        <w:tblW w:w="0" w:type="auto"/>
        <w:tblInd w:w="292"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Layout w:type="fixed"/>
        <w:tblCellMar>
          <w:top w:w="0" w:type="dxa"/>
          <w:left w:w="108" w:type="dxa"/>
          <w:bottom w:w="0" w:type="dxa"/>
          <w:right w:w="108" w:type="dxa"/>
        </w:tblCellMar>
      </w:tblPr>
      <w:tblGrid>
        <w:gridCol w:w="3320"/>
        <w:gridCol w:w="2155"/>
        <w:gridCol w:w="2550"/>
      </w:tblGrid>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3320" w:type="dxa"/>
            <w:tcBorders>
              <w:top w:val="single" w:color="4BACC6" w:themeColor="accent5" w:sz="8" w:space="0"/>
              <w:left w:val="single" w:color="4BACC6" w:themeColor="accent5" w:sz="8" w:space="0"/>
              <w:bottom w:val="single" w:color="4BACC6" w:themeColor="accent5" w:sz="18" w:space="0"/>
              <w:right w:val="single" w:color="4BACC6" w:themeColor="accent5" w:sz="8" w:space="0"/>
              <w:insideH w:val="single" w:sz="18" w:space="0"/>
              <w:insideV w:val="single" w:sz="8" w:space="0"/>
            </w:tcBorders>
            <w:shd w:val="clear" w:color="auto" w:fill="4BACC6"/>
            <w:vAlign w:val="top"/>
          </w:tcPr>
          <w:p>
            <w:pPr>
              <w:spacing w:before="0" w:after="0" w:line="240" w:lineRule="auto"/>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cstheme="majorBidi"/>
                <w:b w:val="0"/>
                <w:bCs/>
                <w:sz w:val="20"/>
                <w:szCs w:val="20"/>
                <w:lang w:val="en-US" w:eastAsia="zh-CN"/>
              </w:rPr>
              <w:t>用人单位行业</w:t>
            </w:r>
          </w:p>
        </w:tc>
        <w:tc>
          <w:tcPr>
            <w:tcW w:w="2155" w:type="dxa"/>
            <w:tcBorders>
              <w:top w:val="single" w:color="4BACC6" w:themeColor="accent5" w:sz="8" w:space="0"/>
              <w:bottom w:val="single" w:color="4BACC6" w:themeColor="accent5" w:sz="18" w:space="0"/>
              <w:right w:val="single" w:color="4BACC6" w:themeColor="accent5" w:sz="8" w:space="0"/>
              <w:insideH w:val="single" w:sz="18" w:space="0"/>
              <w:insideV w:val="single" w:sz="8" w:space="0"/>
            </w:tcBorders>
            <w:shd w:val="clear" w:color="auto" w:fill="4BACC6"/>
            <w:vAlign w:val="top"/>
          </w:tcPr>
          <w:p>
            <w:pPr>
              <w:spacing w:before="0" w:after="0" w:line="240" w:lineRule="auto"/>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cstheme="majorBidi"/>
                <w:b w:val="0"/>
                <w:bCs/>
                <w:sz w:val="20"/>
                <w:szCs w:val="20"/>
                <w:lang w:val="en-US" w:eastAsia="zh-CN"/>
              </w:rPr>
              <w:t>人数</w:t>
            </w:r>
          </w:p>
        </w:tc>
        <w:tc>
          <w:tcPr>
            <w:tcW w:w="2550" w:type="dxa"/>
            <w:tcBorders>
              <w:top w:val="single" w:color="4BACC6" w:themeColor="accent5" w:sz="8" w:space="0"/>
              <w:bottom w:val="single" w:color="4BACC6" w:themeColor="accent5" w:sz="18" w:space="0"/>
              <w:right w:val="single" w:color="4BACC6" w:themeColor="accent5" w:sz="8" w:space="0"/>
              <w:insideH w:val="single" w:sz="18" w:space="0"/>
              <w:insideV w:val="single" w:sz="8" w:space="0"/>
            </w:tcBorders>
            <w:shd w:val="clear" w:color="auto" w:fill="4BACC6"/>
            <w:vAlign w:val="top"/>
          </w:tcPr>
          <w:p>
            <w:pPr>
              <w:spacing w:before="0" w:after="0" w:line="240" w:lineRule="auto"/>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cstheme="majorBidi"/>
                <w:b w:val="0"/>
                <w:bCs/>
                <w:sz w:val="20"/>
                <w:szCs w:val="20"/>
                <w:lang w:val="en-US" w:eastAsia="zh-CN"/>
              </w:rPr>
              <w:t>比例</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332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制造业</w:t>
            </w:r>
          </w:p>
        </w:tc>
        <w:tc>
          <w:tcPr>
            <w:tcW w:w="215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481</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14.82</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332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居民服务、修理和其他服务业</w:t>
            </w:r>
          </w:p>
        </w:tc>
        <w:tc>
          <w:tcPr>
            <w:tcW w:w="215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404</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12.45</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332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信息传输、软件和信息技术服务业</w:t>
            </w:r>
          </w:p>
        </w:tc>
        <w:tc>
          <w:tcPr>
            <w:tcW w:w="215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386</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11.89</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332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建筑业</w:t>
            </w:r>
          </w:p>
        </w:tc>
        <w:tc>
          <w:tcPr>
            <w:tcW w:w="215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356</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10.97</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332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批发和零售业</w:t>
            </w:r>
          </w:p>
        </w:tc>
        <w:tc>
          <w:tcPr>
            <w:tcW w:w="215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309</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9.52</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332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公共管理、社会保障和社会组织</w:t>
            </w:r>
          </w:p>
        </w:tc>
        <w:tc>
          <w:tcPr>
            <w:tcW w:w="215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207</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6.38</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332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租赁和商务服务业</w:t>
            </w:r>
          </w:p>
        </w:tc>
        <w:tc>
          <w:tcPr>
            <w:tcW w:w="215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189</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5.82</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332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农、林、牧、渔业</w:t>
            </w:r>
          </w:p>
        </w:tc>
        <w:tc>
          <w:tcPr>
            <w:tcW w:w="215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154</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4.74</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332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文化、体育和娱乐业</w:t>
            </w:r>
          </w:p>
        </w:tc>
        <w:tc>
          <w:tcPr>
            <w:tcW w:w="215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140</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4.31</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332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科学研究和技术服务业</w:t>
            </w:r>
          </w:p>
        </w:tc>
        <w:tc>
          <w:tcPr>
            <w:tcW w:w="215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137</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4.22</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332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住宿和餐饮业</w:t>
            </w:r>
          </w:p>
        </w:tc>
        <w:tc>
          <w:tcPr>
            <w:tcW w:w="215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108</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3.33</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332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卫生和社会工作</w:t>
            </w:r>
          </w:p>
        </w:tc>
        <w:tc>
          <w:tcPr>
            <w:tcW w:w="215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96</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2.96</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rPr>
          <w:trHeight w:val="280" w:hRule="atLeast"/>
        </w:trPr>
        <w:tc>
          <w:tcPr>
            <w:tcW w:w="332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交通运输、仓储和邮政业</w:t>
            </w:r>
          </w:p>
        </w:tc>
        <w:tc>
          <w:tcPr>
            <w:tcW w:w="215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68</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2.09</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rPr>
          <w:trHeight w:val="280" w:hRule="atLeast"/>
        </w:trPr>
        <w:tc>
          <w:tcPr>
            <w:tcW w:w="332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金融业</w:t>
            </w:r>
          </w:p>
        </w:tc>
        <w:tc>
          <w:tcPr>
            <w:tcW w:w="215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57</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1.76</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rPr>
          <w:trHeight w:val="280" w:hRule="atLeast"/>
        </w:trPr>
        <w:tc>
          <w:tcPr>
            <w:tcW w:w="332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教育</w:t>
            </w:r>
          </w:p>
        </w:tc>
        <w:tc>
          <w:tcPr>
            <w:tcW w:w="215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54</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1.66</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rPr>
          <w:trHeight w:val="280" w:hRule="atLeast"/>
        </w:trPr>
        <w:tc>
          <w:tcPr>
            <w:tcW w:w="332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房地产业</w:t>
            </w:r>
          </w:p>
        </w:tc>
        <w:tc>
          <w:tcPr>
            <w:tcW w:w="215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41</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1.26</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rPr>
          <w:trHeight w:val="280" w:hRule="atLeast"/>
        </w:trPr>
        <w:tc>
          <w:tcPr>
            <w:tcW w:w="332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电力、热力、燃气及水生产和供应业</w:t>
            </w:r>
          </w:p>
        </w:tc>
        <w:tc>
          <w:tcPr>
            <w:tcW w:w="215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34</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1.05</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rPr>
          <w:trHeight w:val="90" w:hRule="atLeast"/>
        </w:trPr>
        <w:tc>
          <w:tcPr>
            <w:tcW w:w="332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水利、环境和公共设施管理业</w:t>
            </w:r>
          </w:p>
        </w:tc>
        <w:tc>
          <w:tcPr>
            <w:tcW w:w="215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0.71</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rPr>
          <w:trHeight w:val="90" w:hRule="atLeast"/>
        </w:trPr>
        <w:tc>
          <w:tcPr>
            <w:tcW w:w="332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采矿业</w:t>
            </w:r>
          </w:p>
        </w:tc>
        <w:tc>
          <w:tcPr>
            <w:tcW w:w="215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0.06</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rPr>
          <w:trHeight w:val="90" w:hRule="atLeast"/>
        </w:trPr>
        <w:tc>
          <w:tcPr>
            <w:tcW w:w="332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auto"/>
            <w:vAlign w:val="top"/>
          </w:tcPr>
          <w:p>
            <w:pPr>
              <w:jc w:val="center"/>
              <w:rPr>
                <w:rFonts w:hint="eastAsia" w:ascii="宋体" w:hAnsi="宋体" w:eastAsia="宋体" w:cs="宋体"/>
                <w:i w:val="0"/>
                <w:iCs w:val="0"/>
                <w:color w:val="000000"/>
                <w:kern w:val="0"/>
                <w:sz w:val="20"/>
                <w:szCs w:val="20"/>
                <w:u w:val="none"/>
                <w:lang w:val="en-US" w:eastAsia="zh-CN" w:bidi="ar"/>
              </w:rPr>
            </w:pPr>
            <w:r>
              <w:rPr>
                <w:rFonts w:hint="eastAsia" w:asciiTheme="minorEastAsia" w:hAnsiTheme="minorEastAsia" w:eastAsiaTheme="minorEastAsia" w:cstheme="majorBidi"/>
                <w:b/>
                <w:bCs w:val="0"/>
                <w:sz w:val="20"/>
                <w:szCs w:val="20"/>
                <w:lang w:val="en-US" w:eastAsia="zh-CN"/>
              </w:rPr>
              <w:t>总计</w:t>
            </w:r>
          </w:p>
        </w:tc>
        <w:tc>
          <w:tcPr>
            <w:tcW w:w="215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auto"/>
            <w:vAlign w:val="top"/>
          </w:tcPr>
          <w:p>
            <w:pPr>
              <w:jc w:val="center"/>
              <w:rPr>
                <w:rFonts w:hint="default" w:ascii="宋体" w:hAnsi="宋体" w:eastAsia="宋体" w:cs="宋体"/>
                <w:b/>
                <w:bCs/>
                <w:i w:val="0"/>
                <w:iCs w:val="0"/>
                <w:color w:val="000000"/>
                <w:kern w:val="0"/>
                <w:sz w:val="20"/>
                <w:szCs w:val="20"/>
                <w:u w:val="none"/>
                <w:lang w:val="en-US" w:eastAsia="zh-CN" w:bidi="ar"/>
              </w:rPr>
            </w:pPr>
            <w:r>
              <w:rPr>
                <w:rFonts w:hint="eastAsia" w:cs="Times New Roman" w:asciiTheme="minorEastAsia" w:hAnsiTheme="minorEastAsia" w:eastAsiaTheme="minorEastAsia"/>
                <w:b/>
                <w:bCs/>
                <w:kern w:val="2"/>
                <w:sz w:val="20"/>
                <w:szCs w:val="20"/>
                <w:lang w:val="en-US" w:eastAsia="zh-CN" w:bidi="ar-SA"/>
              </w:rPr>
              <w:t>3246</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auto"/>
            <w:vAlign w:val="top"/>
          </w:tcPr>
          <w:p>
            <w:pPr>
              <w:jc w:val="center"/>
              <w:rPr>
                <w:rFonts w:hint="eastAsia" w:ascii="宋体" w:hAnsi="宋体" w:eastAsia="宋体" w:cs="宋体"/>
                <w:b/>
                <w:bCs/>
                <w:i w:val="0"/>
                <w:iCs w:val="0"/>
                <w:color w:val="000000"/>
                <w:kern w:val="0"/>
                <w:sz w:val="20"/>
                <w:szCs w:val="20"/>
                <w:u w:val="none"/>
                <w:lang w:val="en-US" w:eastAsia="zh-CN" w:bidi="ar"/>
              </w:rPr>
            </w:pPr>
            <w:r>
              <w:rPr>
                <w:rFonts w:hint="eastAsia" w:asciiTheme="minorEastAsia" w:hAnsiTheme="minorEastAsia" w:eastAsiaTheme="minorEastAsia"/>
                <w:b/>
                <w:bCs/>
                <w:sz w:val="20"/>
                <w:szCs w:val="20"/>
                <w:lang w:val="en-US" w:eastAsia="zh-CN"/>
              </w:rPr>
              <w:t>100.00</w:t>
            </w:r>
          </w:p>
        </w:tc>
      </w:tr>
    </w:tbl>
    <w:p>
      <w:pPr>
        <w:jc w:val="left"/>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注：本表统计仅针对毕业去向为签就业协议就业、签劳动合同就业、其他录用就业的毕业生。</w:t>
      </w:r>
    </w:p>
    <w:p>
      <w:pPr>
        <w:jc w:val="left"/>
        <w:rPr>
          <w:rFonts w:hint="eastAsia" w:asciiTheme="minorEastAsia" w:hAnsiTheme="minorEastAsia" w:eastAsiaTheme="minorEastAsia"/>
          <w:sz w:val="20"/>
          <w:szCs w:val="20"/>
          <w:lang w:val="ru-RU" w:eastAsia="zh-CN"/>
        </w:rPr>
      </w:pPr>
    </w:p>
    <w:p>
      <w:pPr>
        <w:numPr>
          <w:ilvl w:val="0"/>
          <w:numId w:val="0"/>
        </w:numPr>
        <w:ind w:firstLine="0" w:firstLineChars="0"/>
        <w:jc w:val="left"/>
        <w:rPr>
          <w:rFonts w:hint="eastAsia"/>
          <w:sz w:val="28"/>
          <w:szCs w:val="28"/>
          <w:lang w:val="en-US" w:eastAsia="zh-CN"/>
        </w:rPr>
      </w:pPr>
      <w:r>
        <w:rPr>
          <w:rFonts w:hint="eastAsia"/>
          <w:sz w:val="28"/>
          <w:szCs w:val="28"/>
          <w:lang w:val="en-US" w:eastAsia="zh-CN"/>
        </w:rPr>
        <w:t>二、单位性质</w:t>
      </w:r>
    </w:p>
    <w:p>
      <w:pPr>
        <w:numPr>
          <w:ilvl w:val="0"/>
          <w:numId w:val="0"/>
        </w:numPr>
        <w:ind w:firstLine="560"/>
        <w:jc w:val="left"/>
        <w:rPr>
          <w:rFonts w:hint="eastAsia"/>
          <w:sz w:val="28"/>
          <w:szCs w:val="28"/>
          <w:lang w:val="en-US" w:eastAsia="zh-CN"/>
        </w:rPr>
      </w:pPr>
      <w:r>
        <w:rPr>
          <w:rFonts w:hint="eastAsia"/>
          <w:sz w:val="28"/>
          <w:szCs w:val="28"/>
          <w:lang w:val="en-US" w:eastAsia="zh-CN"/>
        </w:rPr>
        <w:t>2023届毕业生主要就业单位性质为“其他企业”（2908人，占比75.63%）、“自由职业”（213人，占比5.54%）、“部队”（193人，占比5.02%）。</w:t>
      </w:r>
    </w:p>
    <w:p>
      <w:pPr>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表 2-</w:t>
      </w:r>
      <w:r>
        <w:rPr>
          <w:rFonts w:hint="eastAsia" w:asciiTheme="minorEastAsia" w:hAnsiTheme="minorEastAsia" w:eastAsiaTheme="minorEastAsia"/>
          <w:sz w:val="20"/>
          <w:szCs w:val="20"/>
          <w:highlight w:val="none"/>
          <w:lang w:val="en-US" w:eastAsia="zh-CN"/>
        </w:rPr>
        <w:t>2</w:t>
      </w:r>
      <w:r>
        <w:rPr>
          <w:rFonts w:hint="eastAsia" w:asciiTheme="minorEastAsia" w:hAnsiTheme="minorEastAsia" w:eastAsiaTheme="minorEastAsia"/>
          <w:sz w:val="20"/>
          <w:szCs w:val="20"/>
          <w:lang w:val="en-US" w:eastAsia="zh-CN"/>
        </w:rPr>
        <w:t xml:space="preserve">  </w:t>
      </w:r>
      <w:r>
        <w:rPr>
          <w:rFonts w:hint="eastAsia" w:asciiTheme="minorEastAsia" w:hAnsiTheme="minorEastAsia" w:eastAsiaTheme="minorEastAsia"/>
          <w:sz w:val="20"/>
          <w:szCs w:val="20"/>
          <w:highlight w:val="none"/>
          <w:lang w:val="en-US" w:eastAsia="zh-CN"/>
        </w:rPr>
        <w:t>2023届已就业毕业生单位性质分布</w:t>
      </w:r>
    </w:p>
    <w:p>
      <w:pPr>
        <w:jc w:val="right"/>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单位：人数（人）、比例（%）</w:t>
      </w:r>
    </w:p>
    <w:tbl>
      <w:tblPr>
        <w:tblStyle w:val="14"/>
        <w:tblW w:w="0" w:type="auto"/>
        <w:tblInd w:w="292"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Layout w:type="fixed"/>
        <w:tblCellMar>
          <w:top w:w="0" w:type="dxa"/>
          <w:left w:w="108" w:type="dxa"/>
          <w:bottom w:w="0" w:type="dxa"/>
          <w:right w:w="108" w:type="dxa"/>
        </w:tblCellMar>
      </w:tblPr>
      <w:tblGrid>
        <w:gridCol w:w="2850"/>
        <w:gridCol w:w="2625"/>
        <w:gridCol w:w="2550"/>
      </w:tblGrid>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18" w:space="0"/>
              <w:right w:val="single" w:color="4BACC6" w:themeColor="accent5" w:sz="8" w:space="0"/>
              <w:insideH w:val="single" w:sz="18" w:space="0"/>
              <w:insideV w:val="single" w:sz="8" w:space="0"/>
            </w:tcBorders>
            <w:shd w:val="clear" w:color="auto" w:fill="4BACC6"/>
            <w:vAlign w:val="top"/>
          </w:tcPr>
          <w:p>
            <w:pPr>
              <w:spacing w:before="0" w:after="0" w:line="240" w:lineRule="auto"/>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cstheme="majorBidi"/>
                <w:b w:val="0"/>
                <w:bCs/>
                <w:sz w:val="20"/>
                <w:szCs w:val="20"/>
                <w:lang w:val="en-US" w:eastAsia="zh-CN"/>
              </w:rPr>
              <w:t>用人单位性质</w:t>
            </w:r>
          </w:p>
        </w:tc>
        <w:tc>
          <w:tcPr>
            <w:tcW w:w="2625" w:type="dxa"/>
            <w:tcBorders>
              <w:top w:val="single" w:color="4BACC6" w:themeColor="accent5" w:sz="8" w:space="0"/>
              <w:bottom w:val="single" w:color="4BACC6" w:themeColor="accent5" w:sz="18" w:space="0"/>
              <w:right w:val="single" w:color="4BACC6" w:themeColor="accent5" w:sz="8" w:space="0"/>
              <w:insideH w:val="single" w:sz="18" w:space="0"/>
              <w:insideV w:val="single" w:sz="8" w:space="0"/>
            </w:tcBorders>
            <w:shd w:val="clear" w:color="auto" w:fill="4BACC6"/>
            <w:vAlign w:val="top"/>
          </w:tcPr>
          <w:p>
            <w:pPr>
              <w:spacing w:before="0" w:after="0" w:line="240" w:lineRule="auto"/>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cstheme="majorBidi"/>
                <w:b w:val="0"/>
                <w:bCs/>
                <w:sz w:val="20"/>
                <w:szCs w:val="20"/>
                <w:lang w:val="en-US" w:eastAsia="zh-CN"/>
              </w:rPr>
              <w:t>人数</w:t>
            </w:r>
          </w:p>
        </w:tc>
        <w:tc>
          <w:tcPr>
            <w:tcW w:w="2550" w:type="dxa"/>
            <w:tcBorders>
              <w:top w:val="single" w:color="4BACC6" w:themeColor="accent5" w:sz="8" w:space="0"/>
              <w:bottom w:val="single" w:color="4BACC6" w:themeColor="accent5" w:sz="18" w:space="0"/>
              <w:right w:val="single" w:color="4BACC6" w:themeColor="accent5" w:sz="8" w:space="0"/>
              <w:insideH w:val="single" w:sz="18" w:space="0"/>
              <w:insideV w:val="single" w:sz="8" w:space="0"/>
            </w:tcBorders>
            <w:shd w:val="clear" w:color="auto" w:fill="4BACC6"/>
            <w:vAlign w:val="top"/>
          </w:tcPr>
          <w:p>
            <w:pPr>
              <w:spacing w:before="0" w:after="0" w:line="240" w:lineRule="auto"/>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cstheme="majorBidi"/>
                <w:b w:val="0"/>
                <w:bCs/>
                <w:sz w:val="20"/>
                <w:szCs w:val="20"/>
                <w:lang w:val="en-US" w:eastAsia="zh-CN"/>
              </w:rPr>
              <w:t>比例</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其他企业</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2908</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75.63</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自由职业</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213</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5.54</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部队</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193</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5.02</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机关</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126</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3.27</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升学</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124</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3.22</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其他事业单位</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71</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1.84</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自主创业</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68</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1.77</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国有企业</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1.56</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三资企业</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0.93</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农村建制村</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0.60</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rPr>
          <w:trHeight w:val="280" w:hRule="atLeast"/>
        </w:trPr>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城镇社区</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0.34</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rPr>
          <w:trHeight w:val="280" w:hRule="atLeast"/>
        </w:trPr>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医疗卫生单位</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0.16</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rPr>
          <w:trHeight w:val="280" w:hRule="atLeast"/>
        </w:trPr>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其他教学单位</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0.08</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rPr>
          <w:trHeight w:val="280" w:hRule="atLeast"/>
        </w:trPr>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出国、出境深造</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0.03</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rPr>
          <w:trHeight w:val="280" w:hRule="atLeast"/>
        </w:trPr>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jc w:val="center"/>
              <w:rPr>
                <w:rFonts w:hint="eastAsia" w:asciiTheme="minorEastAsia" w:hAnsiTheme="minorEastAsia" w:eastAsiaTheme="minorEastAsia" w:cstheme="majorBidi"/>
                <w:b w:val="0"/>
                <w:bCs/>
                <w:kern w:val="2"/>
                <w:sz w:val="20"/>
                <w:szCs w:val="20"/>
                <w:lang w:val="en-US" w:eastAsia="zh-CN" w:bidi="ar-SA"/>
              </w:rPr>
            </w:pPr>
            <w:r>
              <w:rPr>
                <w:rFonts w:hint="eastAsia" w:asciiTheme="minorEastAsia" w:hAnsiTheme="minorEastAsia" w:eastAsiaTheme="minorEastAsia" w:cstheme="majorBidi"/>
                <w:b/>
                <w:bCs w:val="0"/>
                <w:sz w:val="20"/>
                <w:szCs w:val="20"/>
                <w:lang w:val="en-US" w:eastAsia="zh-CN"/>
              </w:rPr>
              <w:t>总计</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cs="Times New Roman" w:asciiTheme="minorEastAsia" w:hAnsiTheme="minorEastAsia" w:eastAsiaTheme="minorEastAsia"/>
                <w:b/>
                <w:bCs/>
                <w:kern w:val="2"/>
                <w:sz w:val="20"/>
                <w:szCs w:val="20"/>
                <w:lang w:val="en-US" w:eastAsia="zh-CN" w:bidi="ar-SA"/>
              </w:rPr>
              <w:t>3845</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jc w:val="center"/>
              <w:rPr>
                <w:rFonts w:hint="eastAsia"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b/>
                <w:bCs/>
                <w:sz w:val="20"/>
                <w:szCs w:val="20"/>
                <w:lang w:val="en-US" w:eastAsia="zh-CN"/>
              </w:rPr>
              <w:t>100.00</w:t>
            </w:r>
          </w:p>
        </w:tc>
      </w:tr>
    </w:tbl>
    <w:p>
      <w:pPr>
        <w:jc w:val="left"/>
        <w:rPr>
          <w:rFonts w:hint="eastAsia" w:asciiTheme="minorEastAsia" w:hAnsiTheme="minorEastAsia" w:eastAsiaTheme="minorEastAsia"/>
          <w:sz w:val="20"/>
          <w:szCs w:val="20"/>
          <w:lang w:val="en-US" w:eastAsia="zh-CN"/>
        </w:rPr>
      </w:pPr>
    </w:p>
    <w:p>
      <w:pPr>
        <w:numPr>
          <w:ilvl w:val="0"/>
          <w:numId w:val="2"/>
        </w:numPr>
        <w:ind w:left="0" w:leftChars="0" w:firstLine="0" w:firstLineChars="0"/>
        <w:jc w:val="left"/>
        <w:rPr>
          <w:rFonts w:hint="eastAsia"/>
          <w:sz w:val="28"/>
          <w:szCs w:val="28"/>
          <w:highlight w:val="none"/>
          <w:lang w:val="en-US" w:eastAsia="zh-CN"/>
        </w:rPr>
      </w:pPr>
      <w:r>
        <w:rPr>
          <w:rFonts w:hint="eastAsia"/>
          <w:sz w:val="28"/>
          <w:szCs w:val="28"/>
          <w:highlight w:val="none"/>
          <w:lang w:val="en-US" w:eastAsia="zh-CN"/>
        </w:rPr>
        <w:t>工作职位类别</w:t>
      </w:r>
    </w:p>
    <w:p>
      <w:pPr>
        <w:numPr>
          <w:ilvl w:val="0"/>
          <w:numId w:val="0"/>
        </w:numPr>
        <w:ind w:firstLine="560"/>
        <w:jc w:val="left"/>
        <w:rPr>
          <w:rFonts w:hint="eastAsia"/>
          <w:sz w:val="28"/>
          <w:szCs w:val="28"/>
          <w:lang w:val="en-US" w:eastAsia="zh-CN"/>
        </w:rPr>
      </w:pPr>
      <w:r>
        <w:rPr>
          <w:rFonts w:hint="eastAsia"/>
          <w:sz w:val="28"/>
          <w:szCs w:val="28"/>
          <w:lang w:val="en-US" w:eastAsia="zh-CN"/>
        </w:rPr>
        <w:t>2023届毕业生主要就业职位类别为“其他人员”（1834人，占比56.50%）、“办事人员和有关人员”（672人，占比20.70%）、“其他专业技术人员”（304人，占比9.37%）。</w:t>
      </w:r>
    </w:p>
    <w:p>
      <w:pPr>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表 2-</w:t>
      </w:r>
      <w:r>
        <w:rPr>
          <w:rFonts w:hint="eastAsia" w:asciiTheme="minorEastAsia" w:hAnsiTheme="minorEastAsia" w:eastAsiaTheme="minorEastAsia"/>
          <w:sz w:val="20"/>
          <w:szCs w:val="20"/>
          <w:highlight w:val="none"/>
          <w:lang w:val="en-US" w:eastAsia="zh-CN"/>
        </w:rPr>
        <w:t>3</w:t>
      </w:r>
      <w:r>
        <w:rPr>
          <w:rFonts w:hint="eastAsia" w:asciiTheme="minorEastAsia" w:hAnsiTheme="minorEastAsia" w:eastAsiaTheme="minorEastAsia"/>
          <w:sz w:val="20"/>
          <w:szCs w:val="20"/>
          <w:lang w:val="en-US" w:eastAsia="zh-CN"/>
        </w:rPr>
        <w:t xml:space="preserve">  </w:t>
      </w:r>
      <w:r>
        <w:rPr>
          <w:rFonts w:hint="eastAsia" w:asciiTheme="minorEastAsia" w:hAnsiTheme="minorEastAsia" w:eastAsiaTheme="minorEastAsia"/>
          <w:sz w:val="20"/>
          <w:szCs w:val="20"/>
          <w:highlight w:val="none"/>
          <w:lang w:val="en-US" w:eastAsia="zh-CN"/>
        </w:rPr>
        <w:t>2023届已就业毕业生职位类型分布</w:t>
      </w:r>
    </w:p>
    <w:p>
      <w:pPr>
        <w:jc w:val="right"/>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单位：人数（人）、比例（%）</w:t>
      </w:r>
    </w:p>
    <w:tbl>
      <w:tblPr>
        <w:tblStyle w:val="14"/>
        <w:tblW w:w="0" w:type="auto"/>
        <w:tblInd w:w="292"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Layout w:type="fixed"/>
        <w:tblCellMar>
          <w:top w:w="0" w:type="dxa"/>
          <w:left w:w="108" w:type="dxa"/>
          <w:bottom w:w="0" w:type="dxa"/>
          <w:right w:w="108" w:type="dxa"/>
        </w:tblCellMar>
      </w:tblPr>
      <w:tblGrid>
        <w:gridCol w:w="2850"/>
        <w:gridCol w:w="2625"/>
        <w:gridCol w:w="2550"/>
      </w:tblGrid>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18" w:space="0"/>
              <w:right w:val="single" w:color="4BACC6" w:themeColor="accent5" w:sz="8" w:space="0"/>
              <w:insideH w:val="single" w:sz="18" w:space="0"/>
              <w:insideV w:val="single" w:sz="8" w:space="0"/>
            </w:tcBorders>
            <w:shd w:val="clear" w:color="auto" w:fill="4BACC6"/>
            <w:vAlign w:val="top"/>
          </w:tcPr>
          <w:p>
            <w:pPr>
              <w:spacing w:before="0" w:after="0" w:line="240" w:lineRule="auto"/>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cstheme="majorBidi"/>
                <w:b w:val="0"/>
                <w:bCs/>
                <w:sz w:val="20"/>
                <w:szCs w:val="20"/>
                <w:lang w:val="en-US" w:eastAsia="zh-CN"/>
              </w:rPr>
              <w:t>工作职位类别</w:t>
            </w:r>
          </w:p>
        </w:tc>
        <w:tc>
          <w:tcPr>
            <w:tcW w:w="2625" w:type="dxa"/>
            <w:tcBorders>
              <w:top w:val="single" w:color="4BACC6" w:themeColor="accent5" w:sz="8" w:space="0"/>
              <w:bottom w:val="single" w:color="4BACC6" w:themeColor="accent5" w:sz="18" w:space="0"/>
              <w:right w:val="single" w:color="4BACC6" w:themeColor="accent5" w:sz="8" w:space="0"/>
              <w:insideH w:val="single" w:sz="18" w:space="0"/>
              <w:insideV w:val="single" w:sz="8" w:space="0"/>
            </w:tcBorders>
            <w:shd w:val="clear" w:color="auto" w:fill="4BACC6"/>
            <w:vAlign w:val="top"/>
          </w:tcPr>
          <w:p>
            <w:pPr>
              <w:spacing w:before="0" w:after="0" w:line="240" w:lineRule="auto"/>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cstheme="majorBidi"/>
                <w:b w:val="0"/>
                <w:bCs/>
                <w:sz w:val="20"/>
                <w:szCs w:val="20"/>
                <w:lang w:val="en-US" w:eastAsia="zh-CN"/>
              </w:rPr>
              <w:t>人数</w:t>
            </w:r>
          </w:p>
        </w:tc>
        <w:tc>
          <w:tcPr>
            <w:tcW w:w="2550" w:type="dxa"/>
            <w:tcBorders>
              <w:top w:val="single" w:color="4BACC6" w:themeColor="accent5" w:sz="8" w:space="0"/>
              <w:bottom w:val="single" w:color="4BACC6" w:themeColor="accent5" w:sz="18" w:space="0"/>
              <w:right w:val="single" w:color="4BACC6" w:themeColor="accent5" w:sz="8" w:space="0"/>
              <w:insideH w:val="single" w:sz="18" w:space="0"/>
              <w:insideV w:val="single" w:sz="8" w:space="0"/>
            </w:tcBorders>
            <w:shd w:val="clear" w:color="auto" w:fill="4BACC6"/>
            <w:vAlign w:val="top"/>
          </w:tcPr>
          <w:p>
            <w:pPr>
              <w:spacing w:before="0" w:after="0" w:line="240" w:lineRule="auto"/>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cstheme="majorBidi"/>
                <w:b w:val="0"/>
                <w:bCs/>
                <w:sz w:val="20"/>
                <w:szCs w:val="20"/>
                <w:lang w:val="en-US" w:eastAsia="zh-CN"/>
              </w:rPr>
              <w:t>比例</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其他人员</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1834</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56.50</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办事人员和有关人员</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672</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20.70</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其他专业技术人员</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304</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9.37</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商业和服务业人员</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154</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4.74</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工程技术人员</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76</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2.34</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金融业务人员</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76</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2.34</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农林牧渔业技术人员</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59</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1.82</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生产和运输设备操作人员</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1.17</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教学人员</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0.46</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卫生专业技术人员</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0.28</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经济业务人员</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0.18</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FFFFFF"/>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新闻出版和文化工作人员</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FFFFFF"/>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FFFFFF"/>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0.06</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法律专业人员</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0.03</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cstheme="majorBidi"/>
                <w:b/>
                <w:bCs w:val="0"/>
                <w:sz w:val="20"/>
                <w:szCs w:val="20"/>
                <w:lang w:val="en-US" w:eastAsia="zh-CN"/>
              </w:rPr>
              <w:t>总计</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jc w:val="center"/>
              <w:rPr>
                <w:rFonts w:hint="default" w:asciiTheme="minorEastAsia" w:hAnsiTheme="minorEastAsia" w:eastAsiaTheme="minorEastAsia"/>
                <w:sz w:val="20"/>
                <w:szCs w:val="20"/>
                <w:lang w:val="en-US" w:eastAsia="zh-CN"/>
              </w:rPr>
            </w:pPr>
            <w:r>
              <w:rPr>
                <w:rFonts w:hint="eastAsia" w:cs="Times New Roman" w:asciiTheme="minorEastAsia" w:hAnsiTheme="minorEastAsia" w:eastAsiaTheme="minorEastAsia"/>
                <w:b/>
                <w:bCs/>
                <w:kern w:val="2"/>
                <w:sz w:val="20"/>
                <w:szCs w:val="20"/>
                <w:lang w:val="en-US" w:eastAsia="zh-CN" w:bidi="ar-SA"/>
              </w:rPr>
              <w:t>3246</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b/>
                <w:bCs/>
                <w:sz w:val="20"/>
                <w:szCs w:val="20"/>
                <w:lang w:val="en-US" w:eastAsia="zh-CN"/>
              </w:rPr>
              <w:t>100.00</w:t>
            </w:r>
          </w:p>
        </w:tc>
      </w:tr>
    </w:tbl>
    <w:p>
      <w:pPr>
        <w:jc w:val="left"/>
        <w:rPr>
          <w:rFonts w:hint="default"/>
          <w:sz w:val="28"/>
          <w:szCs w:val="28"/>
          <w:lang w:val="en-US" w:eastAsia="zh-CN"/>
        </w:rPr>
      </w:pPr>
      <w:r>
        <w:rPr>
          <w:rFonts w:hint="eastAsia" w:asciiTheme="minorEastAsia" w:hAnsiTheme="minorEastAsia" w:eastAsiaTheme="minorEastAsia"/>
          <w:sz w:val="20"/>
          <w:szCs w:val="20"/>
          <w:lang w:val="en-US" w:eastAsia="zh-CN"/>
        </w:rPr>
        <w:t>注：本表统计仅针对毕业去向为签就业协议就业、签劳动合同就业、其他录用就业的毕业生。</w:t>
      </w:r>
    </w:p>
    <w:p>
      <w:pPr>
        <w:jc w:val="left"/>
        <w:rPr>
          <w:rFonts w:hint="eastAsia" w:asciiTheme="minorEastAsia" w:hAnsiTheme="minorEastAsia" w:eastAsiaTheme="minorEastAsia"/>
          <w:sz w:val="20"/>
          <w:szCs w:val="20"/>
          <w:lang w:val="en-US" w:eastAsia="zh-CN"/>
        </w:rPr>
      </w:pPr>
    </w:p>
    <w:p>
      <w:pPr>
        <w:numPr>
          <w:ilvl w:val="0"/>
          <w:numId w:val="2"/>
        </w:numPr>
        <w:ind w:left="0" w:leftChars="0" w:firstLine="0" w:firstLineChars="0"/>
        <w:jc w:val="left"/>
        <w:rPr>
          <w:rFonts w:hint="eastAsia"/>
          <w:sz w:val="28"/>
          <w:szCs w:val="28"/>
          <w:highlight w:val="none"/>
          <w:lang w:val="en-US" w:eastAsia="zh-CN"/>
        </w:rPr>
      </w:pPr>
      <w:r>
        <w:rPr>
          <w:rFonts w:hint="eastAsia"/>
          <w:sz w:val="28"/>
          <w:szCs w:val="28"/>
          <w:highlight w:val="none"/>
          <w:lang w:val="en-US" w:eastAsia="zh-CN"/>
        </w:rPr>
        <w:t>就业地域流向</w:t>
      </w:r>
    </w:p>
    <w:p>
      <w:pPr>
        <w:numPr>
          <w:ilvl w:val="0"/>
          <w:numId w:val="0"/>
        </w:numPr>
        <w:ind w:firstLine="560"/>
        <w:jc w:val="left"/>
        <w:rPr>
          <w:rFonts w:hint="default"/>
          <w:sz w:val="28"/>
          <w:szCs w:val="28"/>
          <w:lang w:val="en-US" w:eastAsia="zh-CN"/>
        </w:rPr>
      </w:pPr>
      <w:r>
        <w:rPr>
          <w:rFonts w:hint="eastAsia"/>
          <w:sz w:val="28"/>
          <w:szCs w:val="28"/>
          <w:lang w:val="en-US" w:eastAsia="zh-CN"/>
        </w:rPr>
        <w:t>就业地域统计仅针对毕业去向为签就业协议就业、签劳动合同就业、其他录用就业的毕业生。</w:t>
      </w:r>
    </w:p>
    <w:p>
      <w:pPr>
        <w:numPr>
          <w:ilvl w:val="0"/>
          <w:numId w:val="6"/>
        </w:numPr>
        <w:ind w:left="0" w:leftChars="0"/>
        <w:jc w:val="left"/>
        <w:rPr>
          <w:rFonts w:hint="eastAsia"/>
          <w:sz w:val="28"/>
          <w:szCs w:val="28"/>
          <w:lang w:val="en-US" w:eastAsia="zh-CN"/>
        </w:rPr>
      </w:pPr>
      <w:r>
        <w:rPr>
          <w:rFonts w:hint="eastAsia"/>
          <w:sz w:val="28"/>
          <w:szCs w:val="28"/>
          <w:lang w:val="en-US" w:eastAsia="zh-CN"/>
        </w:rPr>
        <w:t>就业省份分布</w:t>
      </w:r>
    </w:p>
    <w:p>
      <w:pPr>
        <w:ind w:firstLine="560" w:firstLineChars="200"/>
        <w:jc w:val="left"/>
        <w:rPr>
          <w:rFonts w:hint="eastAsia"/>
          <w:sz w:val="28"/>
          <w:szCs w:val="28"/>
          <w:lang w:val="en-US" w:eastAsia="zh-CN"/>
        </w:rPr>
      </w:pPr>
      <w:r>
        <w:rPr>
          <w:rFonts w:hint="eastAsia"/>
          <w:sz w:val="28"/>
          <w:szCs w:val="28"/>
          <w:lang w:val="en-US" w:eastAsia="zh-CN"/>
        </w:rPr>
        <w:t>2023届毕业生就业地区覆盖26个省（直辖市、自治区、行政区），湖南省就业人数最多，共有1867人（占比57.52%），非湖南省就业人数1379人（占比42.48%）。非湖南省就业人数位列前三的地区分别为：广东省829人（占比25.54%）、江苏省108人（占比3.33%）、 浙江省101人（占比3.11%）。</w:t>
      </w:r>
    </w:p>
    <w:p>
      <w:pPr>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表 2-</w:t>
      </w:r>
      <w:r>
        <w:rPr>
          <w:rFonts w:hint="eastAsia" w:asciiTheme="minorEastAsia" w:hAnsiTheme="minorEastAsia" w:eastAsiaTheme="minorEastAsia"/>
          <w:sz w:val="20"/>
          <w:szCs w:val="20"/>
          <w:highlight w:val="none"/>
          <w:lang w:val="en-US" w:eastAsia="zh-CN"/>
        </w:rPr>
        <w:t>4</w:t>
      </w:r>
      <w:r>
        <w:rPr>
          <w:rFonts w:hint="eastAsia" w:asciiTheme="minorEastAsia" w:hAnsiTheme="minorEastAsia" w:eastAsiaTheme="minorEastAsia"/>
          <w:sz w:val="20"/>
          <w:szCs w:val="20"/>
          <w:lang w:val="en-US" w:eastAsia="zh-CN"/>
        </w:rPr>
        <w:t xml:space="preserve">  </w:t>
      </w:r>
      <w:r>
        <w:rPr>
          <w:rFonts w:hint="eastAsia" w:asciiTheme="minorEastAsia" w:hAnsiTheme="minorEastAsia" w:eastAsiaTheme="minorEastAsia"/>
          <w:sz w:val="20"/>
          <w:szCs w:val="20"/>
          <w:highlight w:val="none"/>
          <w:lang w:val="en-US" w:eastAsia="zh-CN"/>
        </w:rPr>
        <w:t>2023届已就业毕业生就业地域分省份分布</w:t>
      </w:r>
    </w:p>
    <w:p>
      <w:pPr>
        <w:jc w:val="right"/>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单位：人数（人）、比例（%）</w:t>
      </w:r>
    </w:p>
    <w:tbl>
      <w:tblPr>
        <w:tblStyle w:val="14"/>
        <w:tblW w:w="0" w:type="auto"/>
        <w:tblInd w:w="292"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Layout w:type="fixed"/>
        <w:tblCellMar>
          <w:top w:w="0" w:type="dxa"/>
          <w:left w:w="108" w:type="dxa"/>
          <w:bottom w:w="0" w:type="dxa"/>
          <w:right w:w="108" w:type="dxa"/>
        </w:tblCellMar>
      </w:tblPr>
      <w:tblGrid>
        <w:gridCol w:w="2850"/>
        <w:gridCol w:w="2625"/>
        <w:gridCol w:w="2550"/>
      </w:tblGrid>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rPr>
          <w:trHeight w:val="90" w:hRule="atLeast"/>
        </w:trPr>
        <w:tc>
          <w:tcPr>
            <w:tcW w:w="2850" w:type="dxa"/>
            <w:tcBorders>
              <w:top w:val="single" w:color="4BACC6" w:themeColor="accent5" w:sz="8" w:space="0"/>
              <w:left w:val="single" w:color="4BACC6" w:themeColor="accent5" w:sz="8" w:space="0"/>
              <w:bottom w:val="single" w:color="4BACC6" w:themeColor="accent5" w:sz="18" w:space="0"/>
              <w:right w:val="single" w:color="4BACC6" w:themeColor="accent5" w:sz="8" w:space="0"/>
              <w:insideH w:val="single" w:sz="18" w:space="0"/>
              <w:insideV w:val="single" w:sz="8" w:space="0"/>
            </w:tcBorders>
            <w:shd w:val="clear" w:color="auto" w:fill="4BACC6"/>
            <w:vAlign w:val="top"/>
          </w:tcPr>
          <w:p>
            <w:pPr>
              <w:spacing w:before="0" w:after="0" w:line="240" w:lineRule="auto"/>
              <w:jc w:val="center"/>
              <w:rPr>
                <w:rFonts w:hint="default" w:asciiTheme="minorEastAsia" w:hAnsiTheme="minorEastAsia" w:eastAsiaTheme="minorEastAsia" w:cstheme="majorBidi"/>
                <w:b/>
                <w:bCs w:val="0"/>
                <w:color w:val="auto"/>
                <w:kern w:val="2"/>
                <w:sz w:val="20"/>
                <w:szCs w:val="20"/>
                <w:highlight w:val="red"/>
                <w:lang w:val="en-US" w:eastAsia="zh-CN" w:bidi="ar-SA"/>
              </w:rPr>
            </w:pPr>
            <w:r>
              <w:rPr>
                <w:rFonts w:hint="eastAsia" w:asciiTheme="minorEastAsia" w:hAnsiTheme="minorEastAsia" w:eastAsiaTheme="minorEastAsia" w:cstheme="majorBidi"/>
                <w:b/>
                <w:bCs w:val="0"/>
                <w:color w:val="auto"/>
                <w:sz w:val="20"/>
                <w:szCs w:val="20"/>
                <w:highlight w:val="none"/>
                <w:lang w:val="en-US" w:eastAsia="zh-CN"/>
              </w:rPr>
              <w:t>用人单位所在省</w:t>
            </w:r>
          </w:p>
        </w:tc>
        <w:tc>
          <w:tcPr>
            <w:tcW w:w="2625" w:type="dxa"/>
            <w:tcBorders>
              <w:top w:val="single" w:color="4BACC6" w:themeColor="accent5" w:sz="8" w:space="0"/>
              <w:bottom w:val="single" w:color="4BACC6" w:themeColor="accent5" w:sz="18" w:space="0"/>
              <w:right w:val="single" w:color="4BACC6" w:themeColor="accent5" w:sz="8" w:space="0"/>
              <w:insideH w:val="single" w:sz="18" w:space="0"/>
              <w:insideV w:val="single" w:sz="8" w:space="0"/>
            </w:tcBorders>
            <w:shd w:val="clear" w:color="auto" w:fill="4BACC6"/>
            <w:vAlign w:val="top"/>
          </w:tcPr>
          <w:p>
            <w:pPr>
              <w:spacing w:before="0" w:after="0" w:line="240" w:lineRule="auto"/>
              <w:jc w:val="center"/>
              <w:rPr>
                <w:rFonts w:hint="default" w:asciiTheme="minorEastAsia" w:hAnsiTheme="minorEastAsia" w:eastAsiaTheme="minorEastAsia" w:cstheme="majorBidi"/>
                <w:b/>
                <w:bCs w:val="0"/>
                <w:color w:val="auto"/>
                <w:kern w:val="2"/>
                <w:sz w:val="20"/>
                <w:szCs w:val="20"/>
                <w:highlight w:val="none"/>
                <w:lang w:val="ru-RU" w:eastAsia="zh-CN" w:bidi="ar-SA"/>
              </w:rPr>
            </w:pPr>
            <w:r>
              <w:rPr>
                <w:rFonts w:hint="eastAsia" w:asciiTheme="minorEastAsia" w:hAnsiTheme="minorEastAsia" w:eastAsiaTheme="minorEastAsia" w:cstheme="majorBidi"/>
                <w:b/>
                <w:bCs w:val="0"/>
                <w:color w:val="auto"/>
                <w:sz w:val="20"/>
                <w:szCs w:val="20"/>
                <w:highlight w:val="none"/>
                <w:lang w:val="en-US" w:eastAsia="zh-CN"/>
              </w:rPr>
              <w:t>人数</w:t>
            </w:r>
          </w:p>
        </w:tc>
        <w:tc>
          <w:tcPr>
            <w:tcW w:w="2550" w:type="dxa"/>
            <w:tcBorders>
              <w:top w:val="single" w:color="4BACC6" w:themeColor="accent5" w:sz="8" w:space="0"/>
              <w:bottom w:val="single" w:color="4BACC6" w:themeColor="accent5" w:sz="18" w:space="0"/>
              <w:right w:val="single" w:color="4BACC6" w:themeColor="accent5" w:sz="8" w:space="0"/>
              <w:insideH w:val="single" w:sz="18" w:space="0"/>
              <w:insideV w:val="single" w:sz="8" w:space="0"/>
            </w:tcBorders>
            <w:shd w:val="clear" w:color="auto" w:fill="4BACC6"/>
            <w:vAlign w:val="top"/>
          </w:tcPr>
          <w:p>
            <w:pPr>
              <w:spacing w:before="0" w:after="0" w:line="240" w:lineRule="auto"/>
              <w:jc w:val="center"/>
              <w:rPr>
                <w:rFonts w:hint="default" w:asciiTheme="minorEastAsia" w:hAnsiTheme="minorEastAsia" w:eastAsiaTheme="minorEastAsia" w:cstheme="majorBidi"/>
                <w:b/>
                <w:bCs w:val="0"/>
                <w:color w:val="auto"/>
                <w:kern w:val="2"/>
                <w:sz w:val="20"/>
                <w:szCs w:val="20"/>
                <w:highlight w:val="none"/>
                <w:lang w:val="en-US" w:eastAsia="zh-CN" w:bidi="ar-SA"/>
              </w:rPr>
            </w:pPr>
            <w:r>
              <w:rPr>
                <w:rFonts w:hint="eastAsia" w:asciiTheme="minorEastAsia" w:hAnsiTheme="minorEastAsia" w:eastAsiaTheme="minorEastAsia" w:cstheme="majorBidi"/>
                <w:b/>
                <w:bCs w:val="0"/>
                <w:color w:val="auto"/>
                <w:sz w:val="20"/>
                <w:szCs w:val="20"/>
                <w:highlight w:val="none"/>
                <w:lang w:val="en-US" w:eastAsia="zh-CN"/>
              </w:rPr>
              <w:t>比例</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default" w:asciiTheme="minorEastAsia" w:hAnsiTheme="minorEastAsia" w:eastAsiaTheme="minorEastAsia" w:cstheme="majorBidi"/>
                <w:b w:val="0"/>
                <w:bCs/>
                <w:kern w:val="2"/>
                <w:sz w:val="20"/>
                <w:szCs w:val="20"/>
                <w:highlight w:val="none"/>
                <w:lang w:val="ru-RU" w:eastAsia="zh-CN" w:bidi="ar-SA"/>
              </w:rPr>
            </w:pPr>
            <w:r>
              <w:rPr>
                <w:rFonts w:hint="eastAsia" w:ascii="宋体" w:hAnsi="宋体" w:eastAsia="宋体" w:cs="宋体"/>
                <w:i w:val="0"/>
                <w:iCs w:val="0"/>
                <w:color w:val="000000"/>
                <w:kern w:val="0"/>
                <w:sz w:val="20"/>
                <w:szCs w:val="20"/>
                <w:u w:val="none"/>
                <w:lang w:val="en-US" w:eastAsia="zh-CN" w:bidi="ar"/>
              </w:rPr>
              <w:t>湖南省</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keepNext w:val="0"/>
              <w:keepLines w:val="0"/>
              <w:widowControl/>
              <w:suppressLineNumbers w:val="0"/>
              <w:jc w:val="center"/>
              <w:textAlignment w:val="top"/>
              <w:rPr>
                <w:rFonts w:hint="default" w:cs="Times New Roman" w:asciiTheme="minorEastAsia" w:hAnsiTheme="minorEastAsia" w:eastAsiaTheme="minorEastAsia"/>
                <w:kern w:val="2"/>
                <w:sz w:val="20"/>
                <w:szCs w:val="20"/>
                <w:highlight w:val="none"/>
                <w:lang w:val="en-US" w:eastAsia="zh-CN" w:bidi="ar-SA"/>
              </w:rPr>
            </w:pPr>
            <w:r>
              <w:rPr>
                <w:rFonts w:hint="eastAsia" w:ascii="宋体" w:hAnsi="宋体" w:cs="宋体"/>
                <w:i w:val="0"/>
                <w:iCs w:val="0"/>
                <w:color w:val="000000"/>
                <w:kern w:val="0"/>
                <w:sz w:val="20"/>
                <w:szCs w:val="20"/>
                <w:u w:val="none"/>
                <w:lang w:val="en-US" w:eastAsia="zh-CN" w:bidi="ar"/>
              </w:rPr>
              <w:t>1867</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hint="eastAsia" w:cs="Times New Roman" w:asciiTheme="minorEastAsia" w:hAnsiTheme="minorEastAsia" w:eastAsiaTheme="minorEastAsia"/>
                <w:kern w:val="2"/>
                <w:sz w:val="20"/>
                <w:szCs w:val="20"/>
                <w:highlight w:val="none"/>
                <w:lang w:val="en-US" w:eastAsia="zh-CN" w:bidi="ar-SA"/>
              </w:rPr>
              <w:t>57.52</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rPr>
          <w:trHeight w:val="90" w:hRule="atLeast"/>
        </w:trPr>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keepNext w:val="0"/>
              <w:keepLines w:val="0"/>
              <w:widowControl/>
              <w:suppressLineNumbers w:val="0"/>
              <w:jc w:val="center"/>
              <w:textAlignment w:val="top"/>
              <w:rPr>
                <w:rFonts w:hint="default" w:asciiTheme="minorEastAsia" w:hAnsiTheme="minorEastAsia" w:eastAsiaTheme="minorEastAsia" w:cstheme="majorBidi"/>
                <w:b w:val="0"/>
                <w:bCs/>
                <w:kern w:val="2"/>
                <w:sz w:val="20"/>
                <w:szCs w:val="20"/>
                <w:highlight w:val="none"/>
                <w:lang w:val="en-US" w:eastAsia="zh-CN" w:bidi="ar-SA"/>
              </w:rPr>
            </w:pPr>
            <w:r>
              <w:rPr>
                <w:rFonts w:hint="eastAsia" w:asciiTheme="minorEastAsia" w:hAnsiTheme="minorEastAsia" w:eastAsiaTheme="minorEastAsia" w:cstheme="majorBidi"/>
                <w:b w:val="0"/>
                <w:bCs/>
                <w:kern w:val="2"/>
                <w:sz w:val="20"/>
                <w:szCs w:val="20"/>
                <w:highlight w:val="none"/>
                <w:lang w:val="en-US" w:eastAsia="zh-CN" w:bidi="ar-SA"/>
              </w:rPr>
              <w:t>湖南省外</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keepNext w:val="0"/>
              <w:keepLines w:val="0"/>
              <w:widowControl/>
              <w:suppressLineNumbers w:val="0"/>
              <w:jc w:val="center"/>
              <w:textAlignment w:val="top"/>
              <w:rPr>
                <w:rFonts w:hint="default" w:cs="Times New Roman" w:asciiTheme="minorEastAsia" w:hAnsiTheme="minorEastAsia" w:eastAsiaTheme="minorEastAsia"/>
                <w:kern w:val="2"/>
                <w:sz w:val="20"/>
                <w:szCs w:val="20"/>
                <w:highlight w:val="none"/>
                <w:lang w:val="en-US" w:eastAsia="zh-CN" w:bidi="ar-SA"/>
              </w:rPr>
            </w:pPr>
            <w:r>
              <w:rPr>
                <w:rFonts w:hint="eastAsia" w:cs="Times New Roman" w:asciiTheme="minorEastAsia" w:hAnsiTheme="minorEastAsia" w:eastAsiaTheme="minorEastAsia"/>
                <w:kern w:val="2"/>
                <w:sz w:val="20"/>
                <w:szCs w:val="20"/>
                <w:highlight w:val="none"/>
                <w:lang w:val="en-US" w:eastAsia="zh-CN" w:bidi="ar-SA"/>
              </w:rPr>
              <w:t>1379</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hint="eastAsia" w:cs="Times New Roman" w:asciiTheme="minorEastAsia" w:hAnsiTheme="minorEastAsia" w:eastAsiaTheme="minorEastAsia"/>
                <w:kern w:val="2"/>
                <w:sz w:val="20"/>
                <w:szCs w:val="20"/>
                <w:highlight w:val="none"/>
                <w:lang w:val="en-US" w:eastAsia="zh-CN" w:bidi="ar-SA"/>
              </w:rPr>
              <w:t>42.48</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jc w:val="center"/>
              <w:rPr>
                <w:rFonts w:hint="default" w:asciiTheme="minorEastAsia" w:hAnsiTheme="minorEastAsia" w:eastAsiaTheme="minorEastAsia" w:cstheme="majorBidi"/>
                <w:b w:val="0"/>
                <w:bCs/>
                <w:kern w:val="2"/>
                <w:sz w:val="20"/>
                <w:szCs w:val="20"/>
                <w:highlight w:val="none"/>
                <w:lang w:val="en-US" w:eastAsia="zh-CN" w:bidi="ar-SA"/>
              </w:rPr>
            </w:pPr>
            <w:r>
              <w:rPr>
                <w:rFonts w:hint="eastAsia" w:asciiTheme="minorEastAsia" w:hAnsiTheme="minorEastAsia" w:eastAsiaTheme="minorEastAsia" w:cstheme="majorBidi"/>
                <w:b/>
                <w:bCs w:val="0"/>
                <w:sz w:val="20"/>
                <w:szCs w:val="20"/>
                <w:highlight w:val="none"/>
                <w:lang w:val="en-US" w:eastAsia="zh-CN"/>
              </w:rPr>
              <w:t>总计</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jc w:val="center"/>
              <w:rPr>
                <w:rFonts w:hint="default" w:cs="Times New Roman" w:asciiTheme="minorEastAsia" w:hAnsiTheme="minorEastAsia" w:eastAsiaTheme="minorEastAsia"/>
                <w:b/>
                <w:bCs/>
                <w:kern w:val="2"/>
                <w:sz w:val="20"/>
                <w:szCs w:val="20"/>
                <w:highlight w:val="none"/>
                <w:lang w:val="en-US" w:eastAsia="zh-CN" w:bidi="ar-SA"/>
              </w:rPr>
            </w:pPr>
            <w:r>
              <w:rPr>
                <w:rFonts w:hint="eastAsia" w:cs="Times New Roman" w:asciiTheme="minorEastAsia" w:hAnsiTheme="minorEastAsia" w:eastAsiaTheme="minorEastAsia"/>
                <w:b/>
                <w:bCs/>
                <w:kern w:val="2"/>
                <w:sz w:val="20"/>
                <w:szCs w:val="20"/>
                <w:highlight w:val="none"/>
                <w:lang w:val="en-US" w:eastAsia="zh-CN" w:bidi="ar-SA"/>
              </w:rPr>
              <w:t>3246</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jc w:val="center"/>
              <w:rPr>
                <w:rFonts w:hint="eastAsia" w:cs="Times New Roman" w:asciiTheme="minorEastAsia" w:hAnsiTheme="minorEastAsia" w:eastAsiaTheme="minorEastAsia"/>
                <w:b/>
                <w:bCs/>
                <w:kern w:val="2"/>
                <w:sz w:val="20"/>
                <w:szCs w:val="20"/>
                <w:highlight w:val="none"/>
                <w:lang w:val="ru-RU" w:eastAsia="zh-CN" w:bidi="ar-SA"/>
              </w:rPr>
            </w:pPr>
            <w:r>
              <w:rPr>
                <w:rFonts w:hint="eastAsia" w:asciiTheme="minorEastAsia" w:hAnsiTheme="minorEastAsia" w:eastAsiaTheme="minorEastAsia"/>
                <w:b/>
                <w:bCs/>
                <w:sz w:val="20"/>
                <w:szCs w:val="20"/>
                <w:highlight w:val="none"/>
                <w:lang w:val="en-US" w:eastAsia="zh-CN"/>
              </w:rPr>
              <w:t>100.00</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8025" w:type="dxa"/>
            <w:gridSpan w:val="3"/>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vAlign w:val="top"/>
          </w:tcPr>
          <w:p>
            <w:pPr>
              <w:jc w:val="center"/>
              <w:rPr>
                <w:rFonts w:hint="default" w:cs="Times New Roman" w:asciiTheme="minorEastAsia" w:hAnsiTheme="minorEastAsia" w:eastAsiaTheme="minorEastAsia"/>
                <w:kern w:val="2"/>
                <w:sz w:val="20"/>
                <w:szCs w:val="20"/>
                <w:highlight w:val="none"/>
                <w:lang w:val="en-US" w:eastAsia="zh-CN" w:bidi="ar-SA"/>
              </w:rPr>
            </w:pPr>
            <w:r>
              <w:rPr>
                <w:rFonts w:hint="eastAsia" w:cs="Times New Roman" w:asciiTheme="minorEastAsia" w:hAnsiTheme="minorEastAsia" w:eastAsiaTheme="minorEastAsia"/>
                <w:b/>
                <w:bCs/>
                <w:kern w:val="2"/>
                <w:sz w:val="20"/>
                <w:szCs w:val="20"/>
                <w:highlight w:val="none"/>
                <w:lang w:val="en-US" w:eastAsia="zh-CN" w:bidi="ar-SA"/>
              </w:rPr>
              <w:t>外省就业明细</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广东省</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829</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25.54</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rPr>
          <w:trHeight w:val="155" w:hRule="atLeast"/>
        </w:trPr>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江苏省</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108</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3.33</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rPr>
          <w:trHeight w:val="90" w:hRule="atLeast"/>
        </w:trPr>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浙江省</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101</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3.11</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西藏</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67</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2.06</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上海市</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1.39</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湖北省</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0.77</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山东省</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0.77</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福建省</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0.74</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广西</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0.74</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安徽省</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0.62</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rPr>
          <w:trHeight w:val="232" w:hRule="atLeast"/>
        </w:trPr>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江西省</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0.52</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云南省</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0.49</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四川省</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0.49</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rPr>
          <w:trHeight w:val="262" w:hRule="atLeast"/>
        </w:trPr>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贵州省</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0.43</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0.43</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河南省</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0.25</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海南省</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0.22</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rPr>
          <w:trHeight w:val="267" w:hRule="atLeast"/>
        </w:trPr>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重庆市</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0.18</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新疆</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0.12</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陕西省</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0.06</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吉林省</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0.06</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FFFFFF" w:themeFill="background1"/>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山西省</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FFFFFF" w:themeFill="background1"/>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FFFFFF" w:themeFill="background1"/>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0.06</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rPr>
          <w:trHeight w:val="277" w:hRule="atLeast"/>
        </w:trPr>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内蒙古</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0.03</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rPr>
          <w:trHeight w:val="277" w:hRule="atLeast"/>
        </w:trPr>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FFFFFF" w:themeFill="background1"/>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辽宁省</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FFFFFF" w:themeFill="background1"/>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FFFFFF" w:themeFill="background1"/>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0.03</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rPr>
          <w:trHeight w:val="277" w:hRule="atLeast"/>
        </w:trPr>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天津市</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0.03</w:t>
            </w:r>
          </w:p>
        </w:tc>
      </w:tr>
    </w:tbl>
    <w:p>
      <w:pPr>
        <w:numPr>
          <w:ilvl w:val="0"/>
          <w:numId w:val="0"/>
        </w:numPr>
        <w:jc w:val="left"/>
        <w:rPr>
          <w:rFonts w:hint="eastAsia"/>
          <w:sz w:val="28"/>
          <w:szCs w:val="28"/>
          <w:highlight w:val="yellow"/>
          <w:lang w:val="en-US" w:eastAsia="zh-CN"/>
        </w:rPr>
      </w:pPr>
    </w:p>
    <w:p>
      <w:pPr>
        <w:numPr>
          <w:ilvl w:val="0"/>
          <w:numId w:val="6"/>
        </w:numPr>
        <w:ind w:left="0" w:leftChars="0" w:firstLine="0" w:firstLineChars="0"/>
        <w:jc w:val="left"/>
        <w:rPr>
          <w:rFonts w:hint="eastAsia"/>
          <w:sz w:val="28"/>
          <w:szCs w:val="28"/>
          <w:highlight w:val="none"/>
          <w:lang w:val="en-US" w:eastAsia="zh-CN"/>
        </w:rPr>
      </w:pPr>
      <w:r>
        <w:rPr>
          <w:rFonts w:hint="eastAsia"/>
          <w:sz w:val="28"/>
          <w:szCs w:val="28"/>
          <w:highlight w:val="none"/>
          <w:lang w:val="en-US" w:eastAsia="zh-CN"/>
        </w:rPr>
        <w:t>在湘（本省）就业流向</w:t>
      </w:r>
    </w:p>
    <w:p>
      <w:pPr>
        <w:numPr>
          <w:ilvl w:val="0"/>
          <w:numId w:val="0"/>
        </w:numPr>
        <w:ind w:firstLine="560" w:firstLineChars="200"/>
        <w:jc w:val="left"/>
        <w:rPr>
          <w:rFonts w:hint="default"/>
          <w:sz w:val="28"/>
          <w:szCs w:val="28"/>
          <w:lang w:val="en-US" w:eastAsia="zh-CN"/>
        </w:rPr>
      </w:pPr>
      <w:r>
        <w:rPr>
          <w:rFonts w:hint="eastAsia"/>
          <w:sz w:val="28"/>
          <w:szCs w:val="28"/>
          <w:lang w:val="en-US" w:eastAsia="zh-CN"/>
        </w:rPr>
        <w:t>2023届毕业生湖南省内就业人数1867人，省内就业人数比例前三的分别为：邵阳市（占比55.87%）、长沙市（占比27.32%%）、衡阳市（占比2.62%）。</w:t>
      </w:r>
    </w:p>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ru-RU"/>
        </w:rPr>
        <w:t>表</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2</w:t>
      </w:r>
      <w:r>
        <w:rPr>
          <w:rFonts w:asciiTheme="minorEastAsia" w:hAnsiTheme="minorEastAsia" w:eastAsiaTheme="minorEastAsia"/>
          <w:sz w:val="20"/>
          <w:szCs w:val="20"/>
          <w:lang w:val="ru-RU"/>
        </w:rPr>
        <w:t>-</w:t>
      </w:r>
      <w:r>
        <w:rPr>
          <w:rFonts w:hint="eastAsia" w:asciiTheme="minorEastAsia" w:hAnsiTheme="minorEastAsia" w:eastAsiaTheme="minorEastAsia"/>
          <w:sz w:val="20"/>
          <w:szCs w:val="20"/>
          <w:lang w:val="en-US" w:eastAsia="zh-CN"/>
        </w:rPr>
        <w:t xml:space="preserve">5 </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已就业毕业生湖南省内就业城市分布</w:t>
      </w:r>
    </w:p>
    <w:p>
      <w:pPr>
        <w:jc w:val="right"/>
        <w:rPr>
          <w:rFonts w:hint="eastAsia" w:asciiTheme="minorEastAsia" w:hAnsiTheme="minorEastAsia" w:eastAsiaTheme="minorEastAsia"/>
          <w:sz w:val="20"/>
          <w:szCs w:val="20"/>
          <w:lang w:val="ru-RU"/>
        </w:rPr>
      </w:pPr>
      <w:r>
        <w:rPr>
          <w:rFonts w:hint="eastAsia" w:asciiTheme="minorEastAsia" w:hAnsiTheme="minorEastAsia" w:eastAsiaTheme="minorEastAsia"/>
          <w:sz w:val="20"/>
          <w:szCs w:val="20"/>
          <w:lang w:val="ru-RU"/>
        </w:rPr>
        <w:t>单位：人数（人）、比例（%）</w:t>
      </w:r>
    </w:p>
    <w:tbl>
      <w:tblPr>
        <w:tblStyle w:val="14"/>
        <w:tblW w:w="0" w:type="auto"/>
        <w:tblInd w:w="292"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Layout w:type="fixed"/>
        <w:tblCellMar>
          <w:top w:w="0" w:type="dxa"/>
          <w:left w:w="108" w:type="dxa"/>
          <w:bottom w:w="0" w:type="dxa"/>
          <w:right w:w="108" w:type="dxa"/>
        </w:tblCellMar>
      </w:tblPr>
      <w:tblGrid>
        <w:gridCol w:w="2850"/>
        <w:gridCol w:w="2625"/>
        <w:gridCol w:w="2550"/>
      </w:tblGrid>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18" w:space="0"/>
              <w:right w:val="single" w:color="4BACC6" w:themeColor="accent5" w:sz="8" w:space="0"/>
              <w:insideH w:val="single" w:sz="18" w:space="0"/>
              <w:insideV w:val="single" w:sz="8" w:space="0"/>
            </w:tcBorders>
            <w:shd w:val="clear" w:color="auto" w:fill="4BACC6"/>
            <w:vAlign w:val="top"/>
          </w:tcPr>
          <w:p>
            <w:pPr>
              <w:spacing w:before="0" w:after="0" w:line="240" w:lineRule="auto"/>
              <w:jc w:val="center"/>
              <w:rPr>
                <w:rFonts w:hint="eastAsia" w:asciiTheme="minorEastAsia" w:hAnsiTheme="minorEastAsia" w:eastAsiaTheme="minorEastAsia" w:cstheme="majorBidi"/>
                <w:b w:val="0"/>
                <w:bCs/>
                <w:kern w:val="2"/>
                <w:sz w:val="20"/>
                <w:szCs w:val="20"/>
                <w:lang w:val="ru-RU" w:eastAsia="zh-CN" w:bidi="ar-SA"/>
              </w:rPr>
            </w:pPr>
            <w:r>
              <w:rPr>
                <w:rFonts w:hint="eastAsia" w:asciiTheme="minorEastAsia" w:hAnsiTheme="minorEastAsia" w:eastAsiaTheme="minorEastAsia" w:cstheme="majorBidi"/>
                <w:b w:val="0"/>
                <w:bCs/>
                <w:sz w:val="20"/>
                <w:szCs w:val="20"/>
                <w:lang w:val="en-US" w:eastAsia="zh-CN"/>
              </w:rPr>
              <w:t>湖南市州</w:t>
            </w:r>
          </w:p>
        </w:tc>
        <w:tc>
          <w:tcPr>
            <w:tcW w:w="2625" w:type="dxa"/>
            <w:tcBorders>
              <w:top w:val="single" w:color="4BACC6" w:themeColor="accent5" w:sz="8" w:space="0"/>
              <w:bottom w:val="single" w:color="4BACC6" w:themeColor="accent5" w:sz="18" w:space="0"/>
              <w:right w:val="single" w:color="4BACC6" w:themeColor="accent5" w:sz="8" w:space="0"/>
              <w:insideH w:val="single" w:sz="18" w:space="0"/>
              <w:insideV w:val="single" w:sz="8" w:space="0"/>
            </w:tcBorders>
            <w:shd w:val="clear" w:color="auto" w:fill="4BACC6"/>
            <w:vAlign w:val="top"/>
          </w:tcPr>
          <w:p>
            <w:pPr>
              <w:spacing w:before="0" w:after="0" w:line="240" w:lineRule="auto"/>
              <w:jc w:val="center"/>
              <w:rPr>
                <w:rFonts w:hint="default" w:asciiTheme="minorEastAsia" w:hAnsiTheme="minorEastAsia" w:eastAsiaTheme="minorEastAsia" w:cstheme="majorBidi"/>
                <w:b w:val="0"/>
                <w:bCs/>
                <w:kern w:val="2"/>
                <w:sz w:val="20"/>
                <w:szCs w:val="20"/>
                <w:lang w:val="ru-RU" w:eastAsia="zh-CN" w:bidi="ar-SA"/>
              </w:rPr>
            </w:pPr>
            <w:r>
              <w:rPr>
                <w:rFonts w:hint="eastAsia" w:asciiTheme="minorEastAsia" w:hAnsiTheme="minorEastAsia" w:eastAsiaTheme="minorEastAsia" w:cstheme="majorBidi"/>
                <w:b w:val="0"/>
                <w:bCs/>
                <w:sz w:val="20"/>
                <w:szCs w:val="20"/>
                <w:lang w:val="en-US" w:eastAsia="zh-CN"/>
              </w:rPr>
              <w:t>人数</w:t>
            </w:r>
          </w:p>
        </w:tc>
        <w:tc>
          <w:tcPr>
            <w:tcW w:w="2550" w:type="dxa"/>
            <w:tcBorders>
              <w:top w:val="single" w:color="4BACC6" w:themeColor="accent5" w:sz="8" w:space="0"/>
              <w:bottom w:val="single" w:color="4BACC6" w:themeColor="accent5" w:sz="18" w:space="0"/>
              <w:right w:val="single" w:color="4BACC6" w:themeColor="accent5" w:sz="8" w:space="0"/>
              <w:insideH w:val="single" w:sz="18" w:space="0"/>
              <w:insideV w:val="single" w:sz="8" w:space="0"/>
            </w:tcBorders>
            <w:shd w:val="clear" w:color="auto" w:fill="4BACC6"/>
            <w:vAlign w:val="top"/>
          </w:tcPr>
          <w:p>
            <w:pPr>
              <w:spacing w:before="0" w:after="0" w:line="240" w:lineRule="auto"/>
              <w:jc w:val="center"/>
              <w:rPr>
                <w:rFonts w:hint="default" w:asciiTheme="minorEastAsia" w:hAnsiTheme="minorEastAsia" w:eastAsiaTheme="minorEastAsia" w:cstheme="majorBidi"/>
                <w:b w:val="0"/>
                <w:bCs/>
                <w:kern w:val="2"/>
                <w:sz w:val="20"/>
                <w:szCs w:val="20"/>
                <w:lang w:val="en-US" w:eastAsia="zh-CN" w:bidi="ar-SA"/>
              </w:rPr>
            </w:pPr>
            <w:r>
              <w:rPr>
                <w:rFonts w:hint="eastAsia" w:asciiTheme="minorEastAsia" w:hAnsiTheme="minorEastAsia" w:eastAsiaTheme="minorEastAsia" w:cstheme="majorBidi"/>
                <w:b w:val="0"/>
                <w:bCs/>
                <w:sz w:val="20"/>
                <w:szCs w:val="20"/>
                <w:lang w:val="en-US" w:eastAsia="zh-CN"/>
              </w:rPr>
              <w:t>比例</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ru-RU" w:eastAsia="zh-CN" w:bidi="ar"/>
              </w:rPr>
            </w:pPr>
            <w:r>
              <w:rPr>
                <w:rFonts w:hint="eastAsia" w:ascii="宋体" w:hAnsi="宋体" w:eastAsia="宋体" w:cs="宋体"/>
                <w:i w:val="0"/>
                <w:iCs w:val="0"/>
                <w:color w:val="000000"/>
                <w:kern w:val="0"/>
                <w:sz w:val="20"/>
                <w:szCs w:val="20"/>
                <w:u w:val="none"/>
                <w:lang w:val="en-US" w:eastAsia="zh-CN" w:bidi="ar"/>
              </w:rPr>
              <w:t>邵阳市</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1043</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55.87</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ru-RU" w:eastAsia="zh-CN" w:bidi="ar"/>
              </w:rPr>
            </w:pPr>
            <w:r>
              <w:rPr>
                <w:rFonts w:hint="eastAsia" w:ascii="宋体" w:hAnsi="宋体" w:eastAsia="宋体" w:cs="宋体"/>
                <w:i w:val="0"/>
                <w:iCs w:val="0"/>
                <w:color w:val="000000"/>
                <w:kern w:val="0"/>
                <w:sz w:val="20"/>
                <w:szCs w:val="20"/>
                <w:u w:val="none"/>
                <w:lang w:val="en-US" w:eastAsia="zh-CN" w:bidi="ar"/>
              </w:rPr>
              <w:t>长沙市</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510</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27.32</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衡阳市</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49</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2.62</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怀化市 </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2.57</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ru-RU" w:eastAsia="zh-CN" w:bidi="ar"/>
              </w:rPr>
            </w:pPr>
            <w:r>
              <w:rPr>
                <w:rFonts w:hint="eastAsia" w:ascii="宋体" w:hAnsi="宋体" w:eastAsia="宋体" w:cs="宋体"/>
                <w:i w:val="0"/>
                <w:iCs w:val="0"/>
                <w:color w:val="000000"/>
                <w:kern w:val="0"/>
                <w:sz w:val="20"/>
                <w:szCs w:val="20"/>
                <w:u w:val="none"/>
                <w:lang w:val="en-US" w:eastAsia="zh-CN" w:bidi="ar"/>
              </w:rPr>
              <w:t>永州市</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2.14</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ru-RU" w:eastAsia="zh-CN" w:bidi="ar"/>
              </w:rPr>
            </w:pPr>
            <w:r>
              <w:rPr>
                <w:rFonts w:hint="eastAsia" w:ascii="宋体" w:hAnsi="宋体" w:eastAsia="宋体" w:cs="宋体"/>
                <w:i w:val="0"/>
                <w:iCs w:val="0"/>
                <w:color w:val="000000"/>
                <w:kern w:val="0"/>
                <w:sz w:val="20"/>
                <w:szCs w:val="20"/>
                <w:u w:val="none"/>
                <w:lang w:val="en-US" w:eastAsia="zh-CN" w:bidi="ar"/>
              </w:rPr>
              <w:t>娄底市</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1.93</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ru-RU" w:eastAsia="zh-CN" w:bidi="ar"/>
              </w:rPr>
            </w:pPr>
            <w:r>
              <w:rPr>
                <w:rFonts w:hint="eastAsia" w:ascii="宋体" w:hAnsi="宋体" w:eastAsia="宋体" w:cs="宋体"/>
                <w:i w:val="0"/>
                <w:iCs w:val="0"/>
                <w:color w:val="000000"/>
                <w:kern w:val="0"/>
                <w:sz w:val="20"/>
                <w:szCs w:val="20"/>
                <w:u w:val="none"/>
                <w:lang w:val="en-US" w:eastAsia="zh-CN" w:bidi="ar"/>
              </w:rPr>
              <w:t>株洲市</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36</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1.93</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ru-RU" w:eastAsia="zh-CN" w:bidi="ar"/>
              </w:rPr>
            </w:pPr>
            <w:r>
              <w:rPr>
                <w:rFonts w:hint="eastAsia" w:ascii="宋体" w:hAnsi="宋体" w:eastAsia="宋体" w:cs="宋体"/>
                <w:i w:val="0"/>
                <w:iCs w:val="0"/>
                <w:color w:val="000000"/>
                <w:kern w:val="0"/>
                <w:sz w:val="20"/>
                <w:szCs w:val="20"/>
                <w:u w:val="none"/>
                <w:lang w:val="en-US" w:eastAsia="zh-CN" w:bidi="ar"/>
              </w:rPr>
              <w:t>郴州市</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33</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1.77</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ru-RU" w:eastAsia="zh-CN" w:bidi="ar"/>
              </w:rPr>
            </w:pPr>
            <w:r>
              <w:rPr>
                <w:rFonts w:hint="eastAsia" w:ascii="宋体" w:hAnsi="宋体" w:eastAsia="宋体" w:cs="宋体"/>
                <w:i w:val="0"/>
                <w:iCs w:val="0"/>
                <w:color w:val="000000"/>
                <w:kern w:val="0"/>
                <w:sz w:val="20"/>
                <w:szCs w:val="20"/>
                <w:u w:val="none"/>
                <w:lang w:val="en-US" w:eastAsia="zh-CN" w:bidi="ar"/>
              </w:rPr>
              <w:t>湘潭市</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1.18</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ru-RU" w:eastAsia="zh-CN" w:bidi="ar"/>
              </w:rPr>
            </w:pPr>
            <w:r>
              <w:rPr>
                <w:rFonts w:hint="eastAsia" w:ascii="宋体" w:hAnsi="宋体" w:cs="宋体"/>
                <w:i w:val="0"/>
                <w:iCs w:val="0"/>
                <w:color w:val="000000"/>
                <w:kern w:val="0"/>
                <w:sz w:val="20"/>
                <w:szCs w:val="20"/>
                <w:u w:val="none"/>
                <w:lang w:val="en-US" w:eastAsia="zh-CN" w:bidi="ar"/>
              </w:rPr>
              <w:t>54</w:t>
            </w:r>
            <w:r>
              <w:rPr>
                <w:rFonts w:hint="eastAsia" w:ascii="宋体" w:hAnsi="宋体" w:eastAsia="宋体" w:cs="宋体"/>
                <w:i w:val="0"/>
                <w:iCs w:val="0"/>
                <w:color w:val="000000"/>
                <w:kern w:val="0"/>
                <w:sz w:val="20"/>
                <w:szCs w:val="20"/>
                <w:u w:val="none"/>
                <w:lang w:val="en-US" w:eastAsia="zh-CN" w:bidi="ar"/>
              </w:rPr>
              <w:t>湘西</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ru-RU" w:eastAsia="zh-CN" w:bidi="ar"/>
              </w:rPr>
            </w:pPr>
            <w:r>
              <w:rPr>
                <w:rFonts w:hint="eastAsia" w:ascii="宋体" w:hAnsi="宋体" w:eastAsia="宋体" w:cs="宋体"/>
                <w:i w:val="0"/>
                <w:iCs w:val="0"/>
                <w:color w:val="000000"/>
                <w:kern w:val="0"/>
                <w:sz w:val="20"/>
                <w:szCs w:val="20"/>
                <w:u w:val="none"/>
                <w:lang w:val="en-US" w:eastAsia="zh-CN" w:bidi="ar"/>
              </w:rPr>
              <w:t>17</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0.91</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ru-RU" w:eastAsia="zh-CN" w:bidi="ar"/>
              </w:rPr>
            </w:pPr>
            <w:r>
              <w:rPr>
                <w:rFonts w:hint="eastAsia" w:ascii="宋体" w:hAnsi="宋体" w:eastAsia="宋体" w:cs="宋体"/>
                <w:i w:val="0"/>
                <w:iCs w:val="0"/>
                <w:color w:val="000000"/>
                <w:kern w:val="0"/>
                <w:sz w:val="20"/>
                <w:szCs w:val="20"/>
                <w:u w:val="none"/>
                <w:lang w:val="en-US" w:eastAsia="zh-CN" w:bidi="ar"/>
              </w:rPr>
              <w:t>常德市</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ru-RU" w:eastAsia="zh-CN" w:bidi="ar"/>
              </w:rPr>
            </w:pPr>
            <w:r>
              <w:rPr>
                <w:rFonts w:hint="eastAsia" w:ascii="宋体" w:hAnsi="宋体" w:eastAsia="宋体" w:cs="宋体"/>
                <w:i w:val="0"/>
                <w:iCs w:val="0"/>
                <w:color w:val="000000"/>
                <w:kern w:val="0"/>
                <w:sz w:val="20"/>
                <w:szCs w:val="20"/>
                <w:u w:val="none"/>
                <w:lang w:val="en-US" w:eastAsia="zh-CN" w:bidi="ar"/>
              </w:rPr>
              <w:t>14</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0.75</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ru-RU" w:eastAsia="zh-CN" w:bidi="ar"/>
              </w:rPr>
            </w:pPr>
            <w:r>
              <w:rPr>
                <w:rFonts w:hint="eastAsia" w:ascii="宋体" w:hAnsi="宋体" w:eastAsia="宋体" w:cs="宋体"/>
                <w:i w:val="0"/>
                <w:iCs w:val="0"/>
                <w:color w:val="000000"/>
                <w:kern w:val="0"/>
                <w:sz w:val="20"/>
                <w:szCs w:val="20"/>
                <w:u w:val="none"/>
                <w:lang w:val="en-US" w:eastAsia="zh-CN" w:bidi="ar"/>
              </w:rPr>
              <w:t>益阳市</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ru-RU" w:eastAsia="zh-CN" w:bidi="ar"/>
              </w:rPr>
            </w:pPr>
            <w:r>
              <w:rPr>
                <w:rFonts w:hint="eastAsia" w:ascii="宋体" w:hAnsi="宋体" w:eastAsia="宋体" w:cs="宋体"/>
                <w:i w:val="0"/>
                <w:iCs w:val="0"/>
                <w:color w:val="000000"/>
                <w:kern w:val="0"/>
                <w:sz w:val="20"/>
                <w:szCs w:val="20"/>
                <w:u w:val="none"/>
                <w:lang w:val="en-US" w:eastAsia="zh-CN" w:bidi="ar"/>
              </w:rPr>
              <w:t>10</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0.54</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张家界市</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0.27</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岳阳市</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0.21</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2850"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jc w:val="center"/>
              <w:rPr>
                <w:rFonts w:hint="eastAsia" w:asciiTheme="minorEastAsia" w:hAnsiTheme="minorEastAsia" w:eastAsiaTheme="minorEastAsia" w:cstheme="majorBidi"/>
                <w:b w:val="0"/>
                <w:bCs/>
                <w:kern w:val="2"/>
                <w:sz w:val="20"/>
                <w:szCs w:val="20"/>
                <w:lang w:val="en-US" w:eastAsia="zh-CN" w:bidi="ar-SA"/>
              </w:rPr>
            </w:pPr>
            <w:r>
              <w:rPr>
                <w:rFonts w:hint="eastAsia" w:asciiTheme="minorEastAsia" w:hAnsiTheme="minorEastAsia" w:eastAsiaTheme="minorEastAsia" w:cstheme="majorBidi"/>
                <w:b/>
                <w:bCs w:val="0"/>
                <w:sz w:val="20"/>
                <w:szCs w:val="20"/>
                <w:lang w:val="en-US" w:eastAsia="zh-CN"/>
              </w:rPr>
              <w:t>总计</w:t>
            </w:r>
          </w:p>
        </w:tc>
        <w:tc>
          <w:tcPr>
            <w:tcW w:w="2625"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jc w:val="center"/>
              <w:rPr>
                <w:rFonts w:hint="default" w:cs="Times New Roman" w:asciiTheme="minorEastAsia" w:hAnsiTheme="minorEastAsia" w:eastAsiaTheme="minorEastAsia"/>
                <w:b/>
                <w:bCs/>
                <w:kern w:val="2"/>
                <w:sz w:val="20"/>
                <w:szCs w:val="20"/>
                <w:lang w:val="en-US" w:eastAsia="zh-CN" w:bidi="ar-SA"/>
              </w:rPr>
            </w:pPr>
            <w:r>
              <w:rPr>
                <w:rFonts w:hint="eastAsia" w:cs="Times New Roman" w:asciiTheme="minorEastAsia" w:hAnsiTheme="minorEastAsia" w:eastAsiaTheme="minorEastAsia"/>
                <w:b/>
                <w:bCs/>
                <w:kern w:val="2"/>
                <w:sz w:val="20"/>
                <w:szCs w:val="20"/>
                <w:lang w:val="en-US" w:eastAsia="zh-CN" w:bidi="ar-SA"/>
              </w:rPr>
              <w:t>1867</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top"/>
          </w:tcPr>
          <w:p>
            <w:pPr>
              <w:jc w:val="center"/>
              <w:rPr>
                <w:rFonts w:hint="eastAsia" w:cs="Times New Roman" w:asciiTheme="minorEastAsia" w:hAnsiTheme="minorEastAsia" w:eastAsiaTheme="minorEastAsia"/>
                <w:b/>
                <w:bCs/>
                <w:kern w:val="2"/>
                <w:sz w:val="20"/>
                <w:szCs w:val="20"/>
                <w:highlight w:val="none"/>
                <w:lang w:val="en-US" w:eastAsia="zh-CN" w:bidi="ar-SA"/>
              </w:rPr>
            </w:pPr>
            <w:r>
              <w:rPr>
                <w:rFonts w:hint="eastAsia" w:asciiTheme="minorEastAsia" w:hAnsiTheme="minorEastAsia" w:eastAsiaTheme="minorEastAsia"/>
                <w:b/>
                <w:bCs/>
                <w:sz w:val="20"/>
                <w:szCs w:val="20"/>
                <w:highlight w:val="none"/>
                <w:lang w:val="en-US" w:eastAsia="zh-CN"/>
              </w:rPr>
              <w:t>100.00</w:t>
            </w:r>
          </w:p>
        </w:tc>
      </w:tr>
    </w:tbl>
    <w:p>
      <w:pPr>
        <w:numPr>
          <w:ilvl w:val="0"/>
          <w:numId w:val="0"/>
        </w:numPr>
        <w:jc w:val="left"/>
        <w:rPr>
          <w:rFonts w:hint="eastAsia"/>
          <w:sz w:val="28"/>
          <w:szCs w:val="28"/>
          <w:lang w:val="en-US" w:eastAsia="zh-CN"/>
        </w:rPr>
      </w:pPr>
    </w:p>
    <w:p>
      <w:pPr>
        <w:numPr>
          <w:ilvl w:val="0"/>
          <w:numId w:val="6"/>
        </w:numPr>
        <w:ind w:left="0" w:leftChars="0" w:firstLine="0" w:firstLineChars="0"/>
        <w:jc w:val="left"/>
        <w:rPr>
          <w:rFonts w:hint="eastAsia"/>
          <w:sz w:val="28"/>
          <w:szCs w:val="28"/>
          <w:highlight w:val="none"/>
          <w:lang w:val="en-US" w:eastAsia="zh-CN"/>
        </w:rPr>
      </w:pPr>
      <w:r>
        <w:rPr>
          <w:rFonts w:hint="eastAsia"/>
          <w:sz w:val="28"/>
          <w:szCs w:val="28"/>
          <w:highlight w:val="none"/>
          <w:lang w:val="en-US" w:eastAsia="zh-CN"/>
        </w:rPr>
        <w:t>高校所在地（邵阳）就业情况</w:t>
      </w:r>
    </w:p>
    <w:p>
      <w:pPr>
        <w:numPr>
          <w:ilvl w:val="0"/>
          <w:numId w:val="0"/>
        </w:numPr>
        <w:ind w:firstLine="560" w:firstLineChars="200"/>
        <w:jc w:val="left"/>
        <w:rPr>
          <w:rFonts w:hint="eastAsia"/>
          <w:sz w:val="28"/>
          <w:szCs w:val="28"/>
          <w:lang w:val="en-US" w:eastAsia="zh-CN"/>
        </w:rPr>
      </w:pPr>
      <w:r>
        <w:rPr>
          <w:rFonts w:hint="eastAsia"/>
          <w:sz w:val="28"/>
          <w:szCs w:val="28"/>
          <w:lang w:val="en-US" w:eastAsia="zh-CN"/>
        </w:rPr>
        <w:t>2023届毕业生在邵阳地区就业人数为1043人，占比为</w:t>
      </w:r>
      <w:r>
        <w:rPr>
          <w:rFonts w:hint="eastAsia"/>
          <w:sz w:val="28"/>
          <w:szCs w:val="28"/>
          <w:highlight w:val="none"/>
          <w:lang w:val="en-US" w:eastAsia="zh-CN"/>
        </w:rPr>
        <w:t>32.13</w:t>
      </w:r>
      <w:r>
        <w:rPr>
          <w:rFonts w:hint="eastAsia"/>
          <w:sz w:val="28"/>
          <w:szCs w:val="28"/>
          <w:lang w:val="en-US" w:eastAsia="zh-CN"/>
        </w:rPr>
        <w:t>%。</w:t>
      </w:r>
    </w:p>
    <w:p>
      <w:pPr>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图</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highlight w:val="none"/>
          <w:lang w:val="en-US" w:eastAsia="zh-CN"/>
        </w:rPr>
        <w:t>2</w:t>
      </w:r>
      <w:r>
        <w:rPr>
          <w:rFonts w:asciiTheme="minorEastAsia" w:hAnsiTheme="minorEastAsia" w:eastAsiaTheme="minorEastAsia"/>
          <w:sz w:val="20"/>
          <w:szCs w:val="20"/>
          <w:highlight w:val="none"/>
          <w:lang w:val="ru-RU"/>
        </w:rPr>
        <w:t>-</w:t>
      </w:r>
      <w:r>
        <w:rPr>
          <w:rFonts w:hint="eastAsia" w:asciiTheme="minorEastAsia" w:hAnsiTheme="minorEastAsia" w:eastAsiaTheme="minorEastAsia"/>
          <w:sz w:val="20"/>
          <w:szCs w:val="20"/>
          <w:highlight w:val="none"/>
          <w:lang w:val="en-US" w:eastAsia="zh-CN"/>
        </w:rPr>
        <w:t>1</w:t>
      </w:r>
      <w:r>
        <w:rPr>
          <w:rFonts w:hint="eastAsia" w:asciiTheme="minorEastAsia" w:hAnsiTheme="minorEastAsia" w:eastAsiaTheme="minorEastAsia"/>
          <w:sz w:val="20"/>
          <w:szCs w:val="20"/>
          <w:lang w:val="en-US" w:eastAsia="zh-CN"/>
        </w:rPr>
        <w:t xml:space="preserve">  高校所在地（邵阳）就业情况</w:t>
      </w:r>
    </w:p>
    <w:p>
      <w:pPr>
        <w:pStyle w:val="6"/>
        <w:jc w:val="center"/>
        <w:rPr>
          <w:rFonts w:hint="eastAsia"/>
          <w:lang w:val="en-US" w:eastAsia="zh-CN"/>
        </w:rPr>
      </w:pPr>
      <w:r>
        <w:rPr>
          <w:rFonts w:hint="eastAsia"/>
          <w:sz w:val="28"/>
          <w:szCs w:val="28"/>
          <w:lang w:val="en-US" w:eastAsia="zh-CN"/>
        </w:rPr>
        <w:drawing>
          <wp:inline distT="0" distB="0" distL="114300" distR="114300">
            <wp:extent cx="3523615" cy="2635885"/>
            <wp:effectExtent l="4445" t="4445" r="15240" b="7620"/>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numPr>
          <w:ilvl w:val="0"/>
          <w:numId w:val="0"/>
        </w:numPr>
        <w:jc w:val="left"/>
        <w:rPr>
          <w:rFonts w:hint="eastAsia"/>
          <w:sz w:val="28"/>
          <w:szCs w:val="28"/>
          <w:lang w:val="en-US" w:eastAsia="zh-CN"/>
        </w:rPr>
      </w:pPr>
      <w:r>
        <w:rPr>
          <w:rFonts w:hint="eastAsia"/>
          <w:sz w:val="28"/>
          <w:szCs w:val="28"/>
          <w:lang w:val="en-US" w:eastAsia="zh-CN"/>
        </w:rPr>
        <w:t xml:space="preserve">      </w:t>
      </w:r>
    </w:p>
    <w:p>
      <w:pPr>
        <w:numPr>
          <w:ilvl w:val="0"/>
          <w:numId w:val="0"/>
        </w:numPr>
        <w:jc w:val="left"/>
        <w:rPr>
          <w:rFonts w:hint="eastAsia"/>
          <w:sz w:val="28"/>
          <w:szCs w:val="28"/>
          <w:lang w:val="en-US" w:eastAsia="zh-CN"/>
        </w:rPr>
      </w:pPr>
    </w:p>
    <w:p>
      <w:pPr>
        <w:numPr>
          <w:ilvl w:val="0"/>
          <w:numId w:val="0"/>
        </w:numPr>
        <w:jc w:val="left"/>
        <w:rPr>
          <w:rFonts w:hint="eastAsia"/>
          <w:sz w:val="28"/>
          <w:szCs w:val="28"/>
          <w:lang w:val="en-US" w:eastAsia="zh-CN"/>
        </w:rPr>
      </w:pPr>
    </w:p>
    <w:p>
      <w:pPr>
        <w:numPr>
          <w:ilvl w:val="0"/>
          <w:numId w:val="0"/>
        </w:numPr>
        <w:jc w:val="left"/>
        <w:rPr>
          <w:rFonts w:hint="eastAsia"/>
          <w:sz w:val="28"/>
          <w:szCs w:val="28"/>
          <w:lang w:val="en-US" w:eastAsia="zh-CN"/>
        </w:rPr>
      </w:pPr>
    </w:p>
    <w:p>
      <w:pPr>
        <w:numPr>
          <w:ilvl w:val="0"/>
          <w:numId w:val="0"/>
        </w:numPr>
        <w:jc w:val="left"/>
        <w:rPr>
          <w:rFonts w:hint="eastAsia"/>
          <w:sz w:val="28"/>
          <w:szCs w:val="28"/>
          <w:lang w:val="en-US" w:eastAsia="zh-CN"/>
        </w:rPr>
      </w:pPr>
    </w:p>
    <w:p>
      <w:pPr>
        <w:numPr>
          <w:ilvl w:val="0"/>
          <w:numId w:val="0"/>
        </w:numPr>
        <w:jc w:val="left"/>
        <w:rPr>
          <w:rFonts w:hint="eastAsia"/>
          <w:sz w:val="28"/>
          <w:szCs w:val="28"/>
          <w:lang w:val="en-US" w:eastAsia="zh-CN"/>
        </w:rPr>
      </w:pPr>
    </w:p>
    <w:p>
      <w:pPr>
        <w:numPr>
          <w:ilvl w:val="0"/>
          <w:numId w:val="0"/>
        </w:numPr>
        <w:jc w:val="left"/>
        <w:rPr>
          <w:rFonts w:hint="eastAsia"/>
          <w:sz w:val="28"/>
          <w:szCs w:val="28"/>
          <w:lang w:val="en-US" w:eastAsia="zh-CN"/>
        </w:rPr>
      </w:pPr>
    </w:p>
    <w:p>
      <w:pPr>
        <w:numPr>
          <w:ilvl w:val="0"/>
          <w:numId w:val="0"/>
        </w:numPr>
        <w:jc w:val="left"/>
        <w:rPr>
          <w:rFonts w:hint="eastAsia"/>
          <w:sz w:val="28"/>
          <w:szCs w:val="28"/>
          <w:lang w:val="en-US" w:eastAsia="zh-CN"/>
        </w:rPr>
      </w:pPr>
    </w:p>
    <w:p>
      <w:pPr>
        <w:pStyle w:val="10"/>
        <w:ind w:left="0" w:leftChars="0" w:firstLine="0" w:firstLineChars="0"/>
        <w:rPr>
          <w:rFonts w:hint="eastAsia"/>
          <w:lang w:val="en-US" w:eastAsia="zh-CN"/>
        </w:rPr>
      </w:pPr>
    </w:p>
    <w:p>
      <w:pPr>
        <w:rPr>
          <w:rFonts w:hint="eastAsia"/>
          <w:lang w:val="en-US" w:eastAsia="zh-CN"/>
        </w:rPr>
      </w:pPr>
    </w:p>
    <w:p>
      <w:pPr>
        <w:numPr>
          <w:ilvl w:val="0"/>
          <w:numId w:val="0"/>
        </w:numPr>
        <w:jc w:val="left"/>
        <w:rPr>
          <w:rFonts w:hint="eastAsia"/>
          <w:sz w:val="28"/>
          <w:szCs w:val="28"/>
          <w:lang w:val="ru-RU" w:eastAsia="zh-CN"/>
        </w:rPr>
      </w:pPr>
    </w:p>
    <w:p>
      <w:pPr>
        <w:numPr>
          <w:ilvl w:val="0"/>
          <w:numId w:val="0"/>
        </w:numPr>
        <w:jc w:val="left"/>
        <w:rPr>
          <w:rFonts w:hint="eastAsia"/>
          <w:sz w:val="28"/>
          <w:szCs w:val="28"/>
          <w:lang w:val="ru-RU" w:eastAsia="zh-CN"/>
        </w:rPr>
      </w:pPr>
    </w:p>
    <w:p>
      <w:pPr>
        <w:pStyle w:val="6"/>
        <w:rPr>
          <w:rFonts w:hint="eastAsia"/>
          <w:sz w:val="28"/>
          <w:szCs w:val="28"/>
          <w:lang w:val="ru-RU" w:eastAsia="zh-CN"/>
        </w:rPr>
      </w:pPr>
    </w:p>
    <w:p>
      <w:pPr>
        <w:rPr>
          <w:rFonts w:hint="eastAsia"/>
          <w:lang w:val="ru-RU" w:eastAsia="zh-CN"/>
        </w:rPr>
      </w:pPr>
    </w:p>
    <w:p>
      <w:pPr>
        <w:pStyle w:val="6"/>
        <w:rPr>
          <w:rFonts w:hint="eastAsia"/>
          <w:lang w:val="ru-RU" w:eastAsia="zh-CN"/>
        </w:rPr>
      </w:pPr>
    </w:p>
    <w:p>
      <w:pPr>
        <w:numPr>
          <w:ilvl w:val="0"/>
          <w:numId w:val="7"/>
        </w:numPr>
        <w:jc w:val="center"/>
        <w:rPr>
          <w:rFonts w:hint="eastAsia"/>
          <w:sz w:val="36"/>
          <w:szCs w:val="36"/>
          <w:lang w:val="en-US" w:eastAsia="zh-CN"/>
        </w:rPr>
      </w:pPr>
      <w:r>
        <w:rPr>
          <w:rFonts w:hint="eastAsia"/>
          <w:sz w:val="36"/>
          <w:szCs w:val="36"/>
          <w:lang w:val="en-US" w:eastAsia="zh-CN"/>
        </w:rPr>
        <w:t>毕业生就业质量跟踪与反馈</w:t>
      </w:r>
    </w:p>
    <w:p>
      <w:pPr>
        <w:ind w:firstLine="560" w:firstLineChars="200"/>
        <w:jc w:val="left"/>
        <w:rPr>
          <w:rFonts w:hint="eastAsia" w:ascii="宋体" w:hAnsi="宋体" w:eastAsia="宋体" w:cs="宋体"/>
          <w:sz w:val="28"/>
          <w:szCs w:val="28"/>
          <w:highlight w:val="none"/>
        </w:rPr>
      </w:pPr>
      <w:r>
        <w:rPr>
          <w:rFonts w:hint="eastAsia"/>
          <w:sz w:val="28"/>
          <w:szCs w:val="28"/>
          <w:highlight w:val="none"/>
          <w:lang w:val="en-US" w:eastAsia="zh-CN"/>
        </w:rPr>
        <w:t>毕业生就业质量跟踪与反馈数据来源于湖南省大中专毕业生就业中心开展的2023届毕业生问卷调查，以及</w:t>
      </w:r>
      <w:r>
        <w:rPr>
          <w:rFonts w:hint="eastAsia" w:ascii="宋体" w:hAnsi="宋体" w:eastAsia="宋体" w:cs="宋体"/>
          <w:sz w:val="28"/>
          <w:szCs w:val="28"/>
          <w:highlight w:val="none"/>
          <w:lang w:eastAsia="zh-CN"/>
        </w:rPr>
        <w:t>根</w:t>
      </w:r>
      <w:r>
        <w:rPr>
          <w:rFonts w:hint="eastAsia" w:ascii="宋体" w:hAnsi="宋体" w:eastAsia="宋体" w:cs="宋体"/>
          <w:sz w:val="28"/>
          <w:szCs w:val="28"/>
          <w:highlight w:val="none"/>
        </w:rPr>
        <w:t>据</w:t>
      </w:r>
      <w:r>
        <w:rPr>
          <w:rFonts w:hint="eastAsia" w:ascii="宋体" w:hAnsi="宋体" w:cs="宋体"/>
          <w:sz w:val="28"/>
          <w:szCs w:val="28"/>
          <w:highlight w:val="none"/>
          <w:lang w:eastAsia="zh-CN"/>
        </w:rPr>
        <w:t>《</w:t>
      </w:r>
      <w:r>
        <w:rPr>
          <w:rFonts w:hint="eastAsia" w:ascii="宋体" w:hAnsi="宋体" w:eastAsia="宋体" w:cs="宋体"/>
          <w:sz w:val="28"/>
          <w:szCs w:val="28"/>
          <w:highlight w:val="none"/>
        </w:rPr>
        <w:t>湖南省人民政府关于做好当前和今后一段时期就业创业工作的实施意见》（湘政发</w:t>
      </w:r>
      <w:r>
        <w:rPr>
          <w:rFonts w:hint="eastAsia" w:ascii="宋体" w:hAnsi="宋体" w:eastAsia="宋体" w:cs="宋体"/>
          <w:sz w:val="28"/>
          <w:szCs w:val="28"/>
          <w:highlight w:val="none"/>
          <w:lang w:val="en-US" w:eastAsia="zh-CN"/>
        </w:rPr>
        <w:t>[2017]</w:t>
      </w:r>
      <w:r>
        <w:rPr>
          <w:rFonts w:hint="eastAsia" w:ascii="宋体" w:hAnsi="宋体" w:eastAsia="宋体" w:cs="宋体"/>
          <w:sz w:val="28"/>
          <w:szCs w:val="28"/>
          <w:highlight w:val="none"/>
        </w:rPr>
        <w:t>31号）的文件要求，我</w:t>
      </w:r>
      <w:r>
        <w:rPr>
          <w:rFonts w:hint="eastAsia" w:ascii="宋体" w:hAnsi="宋体" w:cs="宋体"/>
          <w:sz w:val="28"/>
          <w:szCs w:val="28"/>
          <w:highlight w:val="none"/>
          <w:lang w:val="en-US" w:eastAsia="zh-CN"/>
        </w:rPr>
        <w:t>校</w:t>
      </w:r>
      <w:r>
        <w:rPr>
          <w:rFonts w:hint="eastAsia" w:ascii="宋体" w:hAnsi="宋体" w:eastAsia="宋体" w:cs="宋体"/>
          <w:sz w:val="28"/>
          <w:szCs w:val="28"/>
          <w:highlight w:val="none"/>
        </w:rPr>
        <w:t>设计</w:t>
      </w:r>
      <w:r>
        <w:rPr>
          <w:rFonts w:hint="eastAsia" w:ascii="宋体" w:hAnsi="宋体" w:cs="宋体"/>
          <w:sz w:val="28"/>
          <w:szCs w:val="28"/>
          <w:highlight w:val="none"/>
          <w:lang w:val="en-US" w:eastAsia="zh-CN"/>
        </w:rPr>
        <w:t>的</w:t>
      </w:r>
      <w:r>
        <w:rPr>
          <w:rFonts w:hint="eastAsia" w:ascii="宋体" w:hAnsi="宋体" w:eastAsia="宋体" w:cs="宋体"/>
          <w:sz w:val="28"/>
          <w:szCs w:val="28"/>
          <w:highlight w:val="none"/>
        </w:rPr>
        <w:t>毕业生跟踪调查问卷。时间从20</w:t>
      </w:r>
      <w:r>
        <w:rPr>
          <w:rFonts w:hint="eastAsia" w:ascii="宋体" w:hAnsi="宋体" w:cs="宋体"/>
          <w:sz w:val="28"/>
          <w:szCs w:val="28"/>
          <w:highlight w:val="none"/>
          <w:lang w:val="en-US" w:eastAsia="zh-CN"/>
        </w:rPr>
        <w:t>23</w:t>
      </w:r>
      <w:r>
        <w:rPr>
          <w:rFonts w:hint="eastAsia" w:ascii="宋体" w:hAnsi="宋体" w:eastAsia="宋体" w:cs="宋体"/>
          <w:sz w:val="28"/>
          <w:szCs w:val="28"/>
          <w:highlight w:val="none"/>
        </w:rPr>
        <w:t>年5月下旬开始，截止时间为20</w:t>
      </w:r>
      <w:r>
        <w:rPr>
          <w:rFonts w:hint="eastAsia" w:ascii="宋体" w:hAnsi="宋体" w:eastAsia="宋体" w:cs="宋体"/>
          <w:sz w:val="28"/>
          <w:szCs w:val="28"/>
          <w:highlight w:val="none"/>
          <w:lang w:val="en-US" w:eastAsia="zh-CN"/>
        </w:rPr>
        <w:t>2</w:t>
      </w:r>
      <w:r>
        <w:rPr>
          <w:rFonts w:hint="eastAsia" w:ascii="宋体" w:hAnsi="宋体" w:cs="宋体"/>
          <w:sz w:val="28"/>
          <w:szCs w:val="28"/>
          <w:highlight w:val="none"/>
          <w:lang w:val="en-US" w:eastAsia="zh-CN"/>
        </w:rPr>
        <w:t>3</w:t>
      </w:r>
      <w:r>
        <w:rPr>
          <w:rFonts w:hint="eastAsia" w:ascii="宋体" w:hAnsi="宋体" w:eastAsia="宋体" w:cs="宋体"/>
          <w:sz w:val="28"/>
          <w:szCs w:val="28"/>
          <w:highlight w:val="none"/>
        </w:rPr>
        <w:t>年1</w:t>
      </w:r>
      <w:r>
        <w:rPr>
          <w:rFonts w:hint="eastAsia" w:ascii="宋体" w:hAnsi="宋体" w:cs="宋体"/>
          <w:sz w:val="28"/>
          <w:szCs w:val="28"/>
          <w:highlight w:val="none"/>
          <w:lang w:val="en-US" w:eastAsia="zh-CN"/>
        </w:rPr>
        <w:t>1</w:t>
      </w:r>
      <w:r>
        <w:rPr>
          <w:rFonts w:hint="eastAsia" w:ascii="宋体" w:hAnsi="宋体" w:eastAsia="宋体" w:cs="宋体"/>
          <w:sz w:val="28"/>
          <w:szCs w:val="28"/>
          <w:highlight w:val="none"/>
        </w:rPr>
        <w:t>月</w:t>
      </w:r>
      <w:r>
        <w:rPr>
          <w:rFonts w:hint="eastAsia" w:ascii="宋体" w:hAnsi="宋体" w:cs="宋体"/>
          <w:sz w:val="28"/>
          <w:szCs w:val="28"/>
          <w:highlight w:val="none"/>
          <w:lang w:val="en-US" w:eastAsia="zh-CN"/>
        </w:rPr>
        <w:t>12</w:t>
      </w:r>
      <w:r>
        <w:rPr>
          <w:rFonts w:hint="eastAsia" w:ascii="宋体" w:hAnsi="宋体" w:eastAsia="宋体" w:cs="宋体"/>
          <w:sz w:val="28"/>
          <w:szCs w:val="28"/>
          <w:highlight w:val="none"/>
        </w:rPr>
        <w:t>日。我</w:t>
      </w:r>
      <w:r>
        <w:rPr>
          <w:rFonts w:hint="eastAsia" w:ascii="宋体" w:hAnsi="宋体" w:cs="宋体"/>
          <w:sz w:val="28"/>
          <w:szCs w:val="28"/>
          <w:highlight w:val="none"/>
          <w:lang w:val="en-US" w:eastAsia="zh-CN"/>
        </w:rPr>
        <w:t>校</w:t>
      </w:r>
      <w:r>
        <w:rPr>
          <w:rFonts w:hint="eastAsia" w:ascii="宋体" w:hAnsi="宋体" w:eastAsia="宋体" w:cs="宋体"/>
          <w:sz w:val="28"/>
          <w:szCs w:val="28"/>
          <w:highlight w:val="none"/>
        </w:rPr>
        <w:t>共回收毕业生跟踪调查有效问卷</w:t>
      </w:r>
      <w:r>
        <w:rPr>
          <w:rFonts w:hint="eastAsia" w:ascii="宋体" w:hAnsi="宋体" w:cs="宋体"/>
          <w:sz w:val="28"/>
          <w:szCs w:val="28"/>
          <w:highlight w:val="none"/>
          <w:lang w:val="en-US" w:eastAsia="zh-CN"/>
        </w:rPr>
        <w:t>1045</w:t>
      </w:r>
      <w:r>
        <w:rPr>
          <w:rFonts w:hint="eastAsia" w:ascii="宋体" w:hAnsi="宋体" w:eastAsia="宋体" w:cs="宋体"/>
          <w:sz w:val="28"/>
          <w:szCs w:val="28"/>
          <w:highlight w:val="none"/>
        </w:rPr>
        <w:t>份。</w:t>
      </w:r>
    </w:p>
    <w:p>
      <w:pPr>
        <w:jc w:val="center"/>
        <w:rPr>
          <w:rFonts w:ascii="宋体" w:hAnsi="宋体" w:eastAsia="宋体"/>
          <w:sz w:val="20"/>
          <w:szCs w:val="20"/>
          <w:highlight w:val="none"/>
          <w:lang w:val="ru-RU"/>
        </w:rPr>
      </w:pPr>
      <w:r>
        <w:rPr>
          <w:rFonts w:hint="eastAsia" w:ascii="宋体" w:hAnsi="宋体" w:eastAsia="宋体"/>
          <w:sz w:val="20"/>
          <w:szCs w:val="20"/>
          <w:highlight w:val="none"/>
          <w:lang w:val="ru-RU"/>
        </w:rPr>
        <w:t>表</w:t>
      </w:r>
      <w:r>
        <w:rPr>
          <w:rFonts w:ascii="宋体" w:hAnsi="宋体" w:eastAsia="宋体"/>
          <w:sz w:val="20"/>
          <w:szCs w:val="20"/>
          <w:highlight w:val="none"/>
          <w:lang w:val="ru-RU"/>
        </w:rPr>
        <w:t xml:space="preserve"> 3-1 20</w:t>
      </w:r>
      <w:r>
        <w:rPr>
          <w:rFonts w:hint="eastAsia" w:ascii="宋体" w:hAnsi="宋体" w:eastAsia="宋体"/>
          <w:sz w:val="20"/>
          <w:szCs w:val="20"/>
          <w:highlight w:val="none"/>
          <w:lang w:val="en-US" w:eastAsia="zh-CN"/>
        </w:rPr>
        <w:t>2</w:t>
      </w:r>
      <w:r>
        <w:rPr>
          <w:rFonts w:hint="eastAsia" w:ascii="宋体" w:hAnsi="宋体"/>
          <w:sz w:val="20"/>
          <w:szCs w:val="20"/>
          <w:highlight w:val="none"/>
          <w:lang w:val="en-US" w:eastAsia="zh-CN"/>
        </w:rPr>
        <w:t>3</w:t>
      </w:r>
      <w:r>
        <w:rPr>
          <w:rFonts w:hint="eastAsia" w:ascii="宋体" w:hAnsi="宋体" w:eastAsia="宋体"/>
          <w:sz w:val="20"/>
          <w:szCs w:val="20"/>
          <w:highlight w:val="none"/>
          <w:lang w:val="ru-RU"/>
        </w:rPr>
        <w:t>届各专业样本回收情况</w:t>
      </w:r>
    </w:p>
    <w:p>
      <w:pPr>
        <w:jc w:val="right"/>
        <w:rPr>
          <w:rFonts w:hint="eastAsia" w:ascii="宋体" w:hAnsi="宋体" w:eastAsia="宋体"/>
          <w:sz w:val="20"/>
          <w:szCs w:val="20"/>
          <w:highlight w:val="none"/>
          <w:lang w:val="ru-RU"/>
        </w:rPr>
      </w:pPr>
      <w:r>
        <w:rPr>
          <w:rFonts w:hint="eastAsia" w:ascii="宋体" w:hAnsi="宋体" w:eastAsia="宋体"/>
          <w:sz w:val="20"/>
          <w:szCs w:val="20"/>
          <w:highlight w:val="none"/>
          <w:lang w:val="ru-RU"/>
        </w:rPr>
        <w:t>单位：人数（人）、样本量、回收率（%）</w:t>
      </w:r>
    </w:p>
    <w:p>
      <w:pPr>
        <w:pStyle w:val="6"/>
        <w:rPr>
          <w:highlight w:val="none"/>
          <w:lang w:val="ru-RU"/>
        </w:rPr>
      </w:pPr>
    </w:p>
    <w:tbl>
      <w:tblPr>
        <w:tblStyle w:val="14"/>
        <w:tblW w:w="8342" w:type="dxa"/>
        <w:tblInd w:w="0" w:type="dxa"/>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Layout w:type="fixed"/>
        <w:tblCellMar>
          <w:top w:w="0" w:type="dxa"/>
          <w:left w:w="108" w:type="dxa"/>
          <w:bottom w:w="0" w:type="dxa"/>
          <w:right w:w="108" w:type="dxa"/>
        </w:tblCellMar>
      </w:tblPr>
      <w:tblGrid>
        <w:gridCol w:w="3575"/>
        <w:gridCol w:w="1526"/>
        <w:gridCol w:w="1665"/>
        <w:gridCol w:w="1576"/>
      </w:tblGrid>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335" w:hRule="atLeast"/>
        </w:trPr>
        <w:tc>
          <w:tcPr>
            <w:tcW w:w="3575" w:type="dxa"/>
            <w:tcBorders>
              <w:top w:val="single" w:color="4BACC6" w:sz="8" w:space="0"/>
              <w:left w:val="single" w:color="4BACC6" w:sz="8" w:space="0"/>
              <w:bottom w:val="single" w:color="4BACC6" w:sz="18" w:space="0"/>
              <w:right w:val="single" w:color="4BACC6" w:sz="8" w:space="0"/>
            </w:tcBorders>
            <w:shd w:val="clear" w:color="auto" w:fill="4BACC6"/>
            <w:noWrap w:val="0"/>
            <w:vAlign w:val="top"/>
          </w:tcPr>
          <w:p>
            <w:pPr>
              <w:spacing w:before="0" w:after="0" w:line="240" w:lineRule="auto"/>
              <w:jc w:val="center"/>
              <w:rPr>
                <w:rFonts w:ascii="宋体" w:hAnsi="宋体" w:eastAsia="宋体" w:cs="Times New Roman"/>
                <w:b w:val="0"/>
                <w:bCs/>
                <w:sz w:val="20"/>
                <w:szCs w:val="20"/>
                <w:highlight w:val="none"/>
                <w:lang w:val="ru-RU"/>
              </w:rPr>
            </w:pPr>
            <w:r>
              <w:rPr>
                <w:rFonts w:hint="eastAsia" w:ascii="宋体" w:hAnsi="宋体" w:eastAsia="宋体" w:cs="Times New Roman"/>
                <w:b w:val="0"/>
                <w:bCs/>
                <w:sz w:val="20"/>
                <w:szCs w:val="20"/>
                <w:highlight w:val="none"/>
                <w:lang w:val="ru-RU"/>
              </w:rPr>
              <w:t>专业</w:t>
            </w:r>
          </w:p>
        </w:tc>
        <w:tc>
          <w:tcPr>
            <w:tcW w:w="1526" w:type="dxa"/>
            <w:tcBorders>
              <w:top w:val="single" w:color="4BACC6" w:sz="8" w:space="0"/>
              <w:bottom w:val="single" w:color="4BACC6" w:sz="18" w:space="0"/>
              <w:right w:val="single" w:color="4BACC6" w:sz="8" w:space="0"/>
            </w:tcBorders>
            <w:shd w:val="clear" w:color="auto" w:fill="4BACC6"/>
            <w:noWrap w:val="0"/>
            <w:vAlign w:val="top"/>
          </w:tcPr>
          <w:p>
            <w:pPr>
              <w:spacing w:before="0" w:after="0" w:line="240" w:lineRule="auto"/>
              <w:jc w:val="center"/>
              <w:rPr>
                <w:rFonts w:ascii="宋体" w:hAnsi="宋体" w:eastAsia="宋体" w:cs="Times New Roman"/>
                <w:b w:val="0"/>
                <w:bCs/>
                <w:sz w:val="20"/>
                <w:szCs w:val="20"/>
                <w:highlight w:val="none"/>
                <w:lang w:val="ru-RU"/>
              </w:rPr>
            </w:pPr>
            <w:r>
              <w:rPr>
                <w:rFonts w:hint="eastAsia" w:ascii="宋体" w:hAnsi="宋体" w:eastAsia="宋体" w:cs="Times New Roman"/>
                <w:b w:val="0"/>
                <w:bCs/>
                <w:sz w:val="20"/>
                <w:szCs w:val="20"/>
                <w:highlight w:val="none"/>
                <w:lang w:val="ru-RU"/>
              </w:rPr>
              <w:t>人数</w:t>
            </w:r>
          </w:p>
        </w:tc>
        <w:tc>
          <w:tcPr>
            <w:tcW w:w="1665" w:type="dxa"/>
            <w:tcBorders>
              <w:top w:val="single" w:color="4BACC6" w:sz="8" w:space="0"/>
              <w:bottom w:val="single" w:color="4BACC6" w:sz="18" w:space="0"/>
              <w:right w:val="single" w:color="4BACC6" w:sz="8" w:space="0"/>
            </w:tcBorders>
            <w:shd w:val="clear" w:color="auto" w:fill="4BACC6"/>
            <w:noWrap w:val="0"/>
            <w:vAlign w:val="top"/>
          </w:tcPr>
          <w:p>
            <w:pPr>
              <w:spacing w:before="0" w:after="0" w:line="240" w:lineRule="auto"/>
              <w:jc w:val="center"/>
              <w:rPr>
                <w:rFonts w:ascii="宋体" w:hAnsi="宋体" w:eastAsia="宋体" w:cs="Times New Roman"/>
                <w:b w:val="0"/>
                <w:bCs/>
                <w:sz w:val="20"/>
                <w:szCs w:val="20"/>
                <w:highlight w:val="none"/>
                <w:lang w:val="ru-RU"/>
              </w:rPr>
            </w:pPr>
            <w:r>
              <w:rPr>
                <w:rFonts w:hint="eastAsia" w:ascii="宋体" w:hAnsi="宋体" w:eastAsia="宋体" w:cs="Times New Roman"/>
                <w:b w:val="0"/>
                <w:bCs/>
                <w:sz w:val="20"/>
                <w:szCs w:val="20"/>
                <w:highlight w:val="none"/>
                <w:lang w:val="ru-RU"/>
              </w:rPr>
              <w:t>样本量</w:t>
            </w:r>
          </w:p>
        </w:tc>
        <w:tc>
          <w:tcPr>
            <w:tcW w:w="1576" w:type="dxa"/>
            <w:tcBorders>
              <w:top w:val="single" w:color="4BACC6" w:sz="8" w:space="0"/>
              <w:bottom w:val="single" w:color="4BACC6" w:sz="18" w:space="0"/>
              <w:right w:val="single" w:color="4BACC6" w:sz="8" w:space="0"/>
            </w:tcBorders>
            <w:shd w:val="clear" w:color="auto" w:fill="4BACC6"/>
            <w:noWrap w:val="0"/>
            <w:vAlign w:val="top"/>
          </w:tcPr>
          <w:p>
            <w:pPr>
              <w:spacing w:before="0" w:after="0" w:line="240" w:lineRule="auto"/>
              <w:jc w:val="center"/>
              <w:rPr>
                <w:rFonts w:ascii="宋体" w:hAnsi="宋体" w:eastAsia="宋体" w:cs="Times New Roman"/>
                <w:b w:val="0"/>
                <w:bCs/>
                <w:sz w:val="20"/>
                <w:szCs w:val="20"/>
                <w:highlight w:val="none"/>
                <w:lang w:val="ru-RU"/>
              </w:rPr>
            </w:pPr>
            <w:r>
              <w:rPr>
                <w:rFonts w:hint="eastAsia" w:ascii="宋体" w:hAnsi="宋体" w:eastAsia="宋体" w:cs="Times New Roman"/>
                <w:b w:val="0"/>
                <w:bCs/>
                <w:sz w:val="20"/>
                <w:szCs w:val="20"/>
                <w:highlight w:val="none"/>
                <w:lang w:val="ru-RU"/>
              </w:rPr>
              <w:t>回收率</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335" w:hRule="atLeast"/>
        </w:trPr>
        <w:tc>
          <w:tcPr>
            <w:tcW w:w="3575" w:type="dxa"/>
            <w:tcBorders>
              <w:top w:val="single" w:color="4BACC6" w:sz="8" w:space="0"/>
              <w:left w:val="single" w:color="4BACC6" w:sz="8" w:space="0"/>
              <w:bottom w:val="single" w:color="4BACC6" w:sz="8" w:space="0"/>
              <w:right w:val="single" w:color="4BACC6" w:sz="8" w:space="0"/>
            </w:tcBorders>
            <w:noWrap w:val="0"/>
            <w:vAlign w:val="top"/>
          </w:tcPr>
          <w:p>
            <w:pPr>
              <w:keepNext w:val="0"/>
              <w:keepLines w:val="0"/>
              <w:widowControl/>
              <w:suppressLineNumbers w:val="0"/>
              <w:jc w:val="center"/>
              <w:textAlignment w:val="top"/>
              <w:rPr>
                <w:rFonts w:hint="default" w:ascii="宋体" w:hAnsi="宋体" w:cs="Times New Roman"/>
                <w:b w:val="0"/>
                <w:bCs/>
                <w:sz w:val="20"/>
                <w:szCs w:val="20"/>
                <w:highlight w:val="yellow"/>
                <w:lang w:val="en-US" w:eastAsia="zh-CN"/>
              </w:rPr>
            </w:pPr>
            <w:r>
              <w:rPr>
                <w:rStyle w:val="27"/>
                <w:lang w:val="en-US" w:eastAsia="zh-CN" w:bidi="ar"/>
              </w:rPr>
              <w:t>会计</w:t>
            </w:r>
          </w:p>
        </w:tc>
        <w:tc>
          <w:tcPr>
            <w:tcW w:w="1526" w:type="dxa"/>
            <w:tcBorders>
              <w:top w:val="single" w:color="4BACC6" w:sz="8" w:space="0"/>
              <w:bottom w:val="single" w:color="4BACC6" w:sz="8" w:space="0"/>
              <w:right w:val="single" w:color="4BACC6" w:sz="8" w:space="0"/>
            </w:tcBorders>
            <w:noWrap w:val="0"/>
            <w:vAlign w:val="top"/>
          </w:tcPr>
          <w:p>
            <w:pPr>
              <w:keepNext w:val="0"/>
              <w:keepLines w:val="0"/>
              <w:widowControl/>
              <w:suppressLineNumbers w:val="0"/>
              <w:jc w:val="center"/>
              <w:textAlignment w:val="top"/>
              <w:rPr>
                <w:rFonts w:hint="default" w:ascii="宋体" w:hAnsi="宋体" w:eastAsia="宋体"/>
                <w:sz w:val="20"/>
                <w:szCs w:val="20"/>
                <w:highlight w:val="yellow"/>
                <w:lang w:val="en-US" w:eastAsia="zh-CN"/>
              </w:rPr>
            </w:pPr>
            <w:r>
              <w:rPr>
                <w:rFonts w:hint="eastAsia" w:ascii="宋体" w:hAnsi="宋体" w:eastAsia="宋体" w:cs="宋体"/>
                <w:i w:val="0"/>
                <w:iCs w:val="0"/>
                <w:color w:val="000000"/>
                <w:kern w:val="0"/>
                <w:sz w:val="20"/>
                <w:szCs w:val="20"/>
                <w:u w:val="none"/>
                <w:lang w:val="en-US" w:eastAsia="zh-CN" w:bidi="ar"/>
              </w:rPr>
              <w:t>403</w:t>
            </w:r>
          </w:p>
        </w:tc>
        <w:tc>
          <w:tcPr>
            <w:tcW w:w="1665" w:type="dxa"/>
            <w:tcBorders>
              <w:top w:val="single" w:color="4BACC6" w:sz="8" w:space="0"/>
              <w:bottom w:val="single" w:color="4BACC6" w:sz="8" w:space="0"/>
              <w:right w:val="single" w:color="4BACC6" w:sz="8" w:space="0"/>
            </w:tcBorders>
            <w:noWrap w:val="0"/>
            <w:vAlign w:val="top"/>
          </w:tcPr>
          <w:p>
            <w:pPr>
              <w:keepNext w:val="0"/>
              <w:keepLines w:val="0"/>
              <w:widowControl/>
              <w:suppressLineNumbers w:val="0"/>
              <w:jc w:val="center"/>
              <w:textAlignment w:val="top"/>
              <w:rPr>
                <w:rFonts w:hint="default" w:ascii="宋体" w:hAnsi="宋体" w:eastAsia="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100</w:t>
            </w:r>
          </w:p>
        </w:tc>
        <w:tc>
          <w:tcPr>
            <w:tcW w:w="1576" w:type="dxa"/>
            <w:tcBorders>
              <w:top w:val="single" w:color="4BACC6" w:sz="8" w:space="0"/>
              <w:bottom w:val="single" w:color="4BACC6" w:sz="8" w:space="0"/>
              <w:right w:val="single" w:color="4BACC6" w:sz="8" w:space="0"/>
            </w:tcBorders>
            <w:noWrap w:val="0"/>
            <w:vAlign w:val="top"/>
          </w:tcPr>
          <w:p>
            <w:pPr>
              <w:keepNext w:val="0"/>
              <w:keepLines w:val="0"/>
              <w:widowControl/>
              <w:suppressLineNumbers w:val="0"/>
              <w:jc w:val="center"/>
              <w:textAlignment w:val="top"/>
              <w:rPr>
                <w:rFonts w:hint="default" w:ascii="宋体" w:hAnsi="宋体" w:eastAsia="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95.0%</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335" w:hRule="atLeast"/>
        </w:trPr>
        <w:tc>
          <w:tcPr>
            <w:tcW w:w="3575" w:type="dxa"/>
            <w:tcBorders>
              <w:top w:val="single" w:color="4BACC6" w:sz="8" w:space="0"/>
              <w:left w:val="single" w:color="4BACC6" w:sz="8" w:space="0"/>
              <w:bottom w:val="single" w:color="4BACC6" w:sz="8" w:space="0"/>
              <w:right w:val="single" w:color="4BACC6" w:sz="8" w:space="0"/>
            </w:tcBorders>
            <w:shd w:val="clear" w:color="auto" w:fill="D2EAF0"/>
            <w:noWrap w:val="0"/>
            <w:vAlign w:val="top"/>
          </w:tcPr>
          <w:p>
            <w:pPr>
              <w:keepNext w:val="0"/>
              <w:keepLines w:val="0"/>
              <w:widowControl/>
              <w:suppressLineNumbers w:val="0"/>
              <w:jc w:val="center"/>
              <w:textAlignment w:val="top"/>
              <w:rPr>
                <w:rFonts w:ascii="宋体" w:hAnsi="宋体" w:eastAsia="宋体" w:cs="Times New Roman"/>
                <w:b w:val="0"/>
                <w:bCs/>
                <w:sz w:val="20"/>
                <w:szCs w:val="20"/>
                <w:highlight w:val="yellow"/>
                <w:lang w:val="ru-RU"/>
              </w:rPr>
            </w:pPr>
            <w:r>
              <w:rPr>
                <w:rStyle w:val="27"/>
                <w:lang w:val="en-US" w:eastAsia="zh-CN" w:bidi="ar"/>
              </w:rPr>
              <w:t>文秘</w:t>
            </w:r>
          </w:p>
        </w:tc>
        <w:tc>
          <w:tcPr>
            <w:tcW w:w="1526" w:type="dxa"/>
            <w:tcBorders>
              <w:top w:val="single" w:color="4BACC6" w:sz="8" w:space="0"/>
              <w:bottom w:val="single" w:color="4BACC6" w:sz="8" w:space="0"/>
              <w:right w:val="single" w:color="4BACC6" w:sz="8" w:space="0"/>
            </w:tcBorders>
            <w:shd w:val="clear" w:color="auto" w:fill="D2EAF0"/>
            <w:noWrap w:val="0"/>
            <w:vAlign w:val="top"/>
          </w:tcPr>
          <w:p>
            <w:pPr>
              <w:keepNext w:val="0"/>
              <w:keepLines w:val="0"/>
              <w:widowControl/>
              <w:suppressLineNumbers w:val="0"/>
              <w:jc w:val="center"/>
              <w:textAlignment w:val="top"/>
              <w:rPr>
                <w:rFonts w:hint="default" w:ascii="宋体" w:hAnsi="宋体" w:eastAsia="宋体"/>
                <w:sz w:val="20"/>
                <w:szCs w:val="20"/>
                <w:highlight w:val="yellow"/>
                <w:lang w:val="en-US" w:eastAsia="zh-CN"/>
              </w:rPr>
            </w:pPr>
            <w:r>
              <w:rPr>
                <w:rFonts w:hint="eastAsia" w:ascii="宋体" w:hAnsi="宋体" w:eastAsia="宋体" w:cs="宋体"/>
                <w:i w:val="0"/>
                <w:iCs w:val="0"/>
                <w:color w:val="000000"/>
                <w:kern w:val="0"/>
                <w:sz w:val="20"/>
                <w:szCs w:val="20"/>
                <w:u w:val="none"/>
                <w:lang w:val="en-US" w:eastAsia="zh-CN" w:bidi="ar"/>
              </w:rPr>
              <w:t>166</w:t>
            </w:r>
          </w:p>
        </w:tc>
        <w:tc>
          <w:tcPr>
            <w:tcW w:w="1665" w:type="dxa"/>
            <w:tcBorders>
              <w:top w:val="single" w:color="4BACC6" w:sz="8" w:space="0"/>
              <w:bottom w:val="single" w:color="4BACC6" w:sz="8" w:space="0"/>
              <w:right w:val="single" w:color="4BACC6" w:sz="8" w:space="0"/>
            </w:tcBorders>
            <w:shd w:val="clear" w:color="auto" w:fill="D2EAF0"/>
            <w:noWrap w:val="0"/>
            <w:vAlign w:val="top"/>
          </w:tcPr>
          <w:p>
            <w:pPr>
              <w:keepNext w:val="0"/>
              <w:keepLines w:val="0"/>
              <w:widowControl/>
              <w:suppressLineNumbers w:val="0"/>
              <w:jc w:val="center"/>
              <w:textAlignment w:val="top"/>
              <w:rPr>
                <w:rFonts w:hint="default" w:ascii="宋体" w:hAnsi="宋体" w:eastAsia="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40</w:t>
            </w:r>
          </w:p>
        </w:tc>
        <w:tc>
          <w:tcPr>
            <w:tcW w:w="1576" w:type="dxa"/>
            <w:tcBorders>
              <w:top w:val="single" w:color="4BACC6" w:sz="8" w:space="0"/>
              <w:bottom w:val="single" w:color="4BACC6" w:sz="8" w:space="0"/>
              <w:right w:val="single" w:color="4BACC6" w:sz="8" w:space="0"/>
            </w:tcBorders>
            <w:shd w:val="clear" w:color="auto" w:fill="D2EAF0"/>
            <w:noWrap w:val="0"/>
            <w:vAlign w:val="top"/>
          </w:tcPr>
          <w:p>
            <w:pPr>
              <w:keepNext w:val="0"/>
              <w:keepLines w:val="0"/>
              <w:widowControl/>
              <w:suppressLineNumbers w:val="0"/>
              <w:jc w:val="center"/>
              <w:textAlignment w:val="top"/>
              <w:rPr>
                <w:rFonts w:ascii="宋体" w:hAnsi="宋体" w:eastAsia="宋体"/>
                <w:sz w:val="20"/>
                <w:szCs w:val="20"/>
                <w:highlight w:val="none"/>
                <w:lang w:val="ru-RU"/>
              </w:rPr>
            </w:pPr>
            <w:r>
              <w:rPr>
                <w:rFonts w:hint="eastAsia" w:ascii="宋体" w:hAnsi="宋体" w:eastAsia="宋体" w:cs="宋体"/>
                <w:i w:val="0"/>
                <w:iCs w:val="0"/>
                <w:color w:val="000000"/>
                <w:kern w:val="0"/>
                <w:sz w:val="20"/>
                <w:szCs w:val="20"/>
                <w:u w:val="none"/>
                <w:lang w:val="en-US" w:eastAsia="zh-CN" w:bidi="ar"/>
              </w:rPr>
              <w:t>100.0%</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335" w:hRule="atLeast"/>
        </w:trPr>
        <w:tc>
          <w:tcPr>
            <w:tcW w:w="3575" w:type="dxa"/>
            <w:tcBorders>
              <w:top w:val="single" w:color="4BACC6" w:sz="8" w:space="0"/>
              <w:left w:val="single" w:color="4BACC6" w:sz="8" w:space="0"/>
              <w:bottom w:val="single" w:color="4BACC6" w:sz="8" w:space="0"/>
              <w:right w:val="single" w:color="4BACC6" w:sz="8" w:space="0"/>
            </w:tcBorders>
            <w:noWrap w:val="0"/>
            <w:vAlign w:val="top"/>
          </w:tcPr>
          <w:p>
            <w:pPr>
              <w:keepNext w:val="0"/>
              <w:keepLines w:val="0"/>
              <w:widowControl/>
              <w:suppressLineNumbers w:val="0"/>
              <w:jc w:val="center"/>
              <w:textAlignment w:val="top"/>
              <w:rPr>
                <w:rFonts w:ascii="宋体" w:hAnsi="宋体" w:eastAsia="宋体" w:cs="Times New Roman"/>
                <w:b w:val="0"/>
                <w:bCs/>
                <w:sz w:val="20"/>
                <w:szCs w:val="20"/>
                <w:highlight w:val="yellow"/>
                <w:lang w:val="ru-RU"/>
              </w:rPr>
            </w:pPr>
            <w:r>
              <w:rPr>
                <w:rStyle w:val="27"/>
                <w:lang w:val="en-US" w:eastAsia="zh-CN" w:bidi="ar"/>
              </w:rPr>
              <w:t>旅游管理</w:t>
            </w:r>
          </w:p>
        </w:tc>
        <w:tc>
          <w:tcPr>
            <w:tcW w:w="1526" w:type="dxa"/>
            <w:tcBorders>
              <w:top w:val="single" w:color="4BACC6" w:sz="8" w:space="0"/>
              <w:bottom w:val="single" w:color="4BACC6" w:sz="8" w:space="0"/>
              <w:right w:val="single" w:color="4BACC6" w:sz="8" w:space="0"/>
            </w:tcBorders>
            <w:noWrap w:val="0"/>
            <w:vAlign w:val="top"/>
          </w:tcPr>
          <w:p>
            <w:pPr>
              <w:keepNext w:val="0"/>
              <w:keepLines w:val="0"/>
              <w:widowControl/>
              <w:suppressLineNumbers w:val="0"/>
              <w:jc w:val="center"/>
              <w:textAlignment w:val="top"/>
              <w:rPr>
                <w:rFonts w:hint="default" w:ascii="宋体" w:hAnsi="宋体" w:eastAsia="宋体"/>
                <w:sz w:val="20"/>
                <w:szCs w:val="20"/>
                <w:highlight w:val="yellow"/>
                <w:lang w:val="en-US" w:eastAsia="zh-CN"/>
              </w:rPr>
            </w:pPr>
            <w:r>
              <w:rPr>
                <w:rFonts w:hint="eastAsia" w:ascii="宋体" w:hAnsi="宋体" w:eastAsia="宋体" w:cs="宋体"/>
                <w:i w:val="0"/>
                <w:iCs w:val="0"/>
                <w:color w:val="000000"/>
                <w:kern w:val="0"/>
                <w:sz w:val="20"/>
                <w:szCs w:val="20"/>
                <w:u w:val="none"/>
                <w:lang w:val="en-US" w:eastAsia="zh-CN" w:bidi="ar"/>
              </w:rPr>
              <w:t>118</w:t>
            </w:r>
          </w:p>
        </w:tc>
        <w:tc>
          <w:tcPr>
            <w:tcW w:w="1665" w:type="dxa"/>
            <w:tcBorders>
              <w:top w:val="single" w:color="4BACC6" w:sz="8" w:space="0"/>
              <w:bottom w:val="single" w:color="4BACC6" w:sz="8" w:space="0"/>
              <w:right w:val="single" w:color="4BACC6" w:sz="8" w:space="0"/>
            </w:tcBorders>
            <w:noWrap w:val="0"/>
            <w:vAlign w:val="top"/>
          </w:tcPr>
          <w:p>
            <w:pPr>
              <w:keepNext w:val="0"/>
              <w:keepLines w:val="0"/>
              <w:widowControl/>
              <w:suppressLineNumbers w:val="0"/>
              <w:jc w:val="center"/>
              <w:textAlignment w:val="top"/>
              <w:rPr>
                <w:rFonts w:hint="default" w:ascii="宋体" w:hAnsi="宋体" w:eastAsia="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40</w:t>
            </w:r>
          </w:p>
        </w:tc>
        <w:tc>
          <w:tcPr>
            <w:tcW w:w="1576" w:type="dxa"/>
            <w:tcBorders>
              <w:top w:val="single" w:color="4BACC6" w:sz="8" w:space="0"/>
              <w:bottom w:val="single" w:color="4BACC6" w:sz="8" w:space="0"/>
              <w:right w:val="single" w:color="4BACC6" w:sz="8" w:space="0"/>
            </w:tcBorders>
            <w:noWrap w:val="0"/>
            <w:vAlign w:val="top"/>
          </w:tcPr>
          <w:p>
            <w:pPr>
              <w:keepNext w:val="0"/>
              <w:keepLines w:val="0"/>
              <w:widowControl/>
              <w:suppressLineNumbers w:val="0"/>
              <w:jc w:val="center"/>
              <w:textAlignment w:val="top"/>
              <w:rPr>
                <w:rFonts w:ascii="宋体" w:hAnsi="宋体" w:eastAsia="宋体"/>
                <w:sz w:val="20"/>
                <w:szCs w:val="20"/>
                <w:highlight w:val="none"/>
                <w:lang w:val="ru-RU"/>
              </w:rPr>
            </w:pPr>
            <w:r>
              <w:rPr>
                <w:rFonts w:hint="eastAsia" w:ascii="宋体" w:hAnsi="宋体" w:eastAsia="宋体" w:cs="宋体"/>
                <w:i w:val="0"/>
                <w:iCs w:val="0"/>
                <w:color w:val="000000"/>
                <w:kern w:val="0"/>
                <w:sz w:val="20"/>
                <w:szCs w:val="20"/>
                <w:u w:val="none"/>
                <w:lang w:val="en-US" w:eastAsia="zh-CN" w:bidi="ar"/>
              </w:rPr>
              <w:t>90.0%</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335" w:hRule="atLeast"/>
        </w:trPr>
        <w:tc>
          <w:tcPr>
            <w:tcW w:w="3575" w:type="dxa"/>
            <w:tcBorders>
              <w:top w:val="single" w:color="4BACC6" w:sz="8" w:space="0"/>
              <w:left w:val="single" w:color="4BACC6" w:sz="8" w:space="0"/>
              <w:bottom w:val="single" w:color="4BACC6" w:sz="8" w:space="0"/>
              <w:right w:val="single" w:color="4BACC6" w:sz="8" w:space="0"/>
            </w:tcBorders>
            <w:shd w:val="clear" w:color="auto" w:fill="D2EAF0"/>
            <w:noWrap w:val="0"/>
            <w:vAlign w:val="top"/>
          </w:tcPr>
          <w:p>
            <w:pPr>
              <w:keepNext w:val="0"/>
              <w:keepLines w:val="0"/>
              <w:widowControl/>
              <w:suppressLineNumbers w:val="0"/>
              <w:jc w:val="center"/>
              <w:textAlignment w:val="top"/>
              <w:rPr>
                <w:rFonts w:ascii="宋体" w:hAnsi="宋体" w:eastAsia="宋体" w:cs="Times New Roman"/>
                <w:b w:val="0"/>
                <w:bCs/>
                <w:sz w:val="20"/>
                <w:szCs w:val="20"/>
                <w:highlight w:val="yellow"/>
                <w:lang w:val="ru-RU"/>
              </w:rPr>
            </w:pPr>
            <w:r>
              <w:rPr>
                <w:rStyle w:val="27"/>
                <w:lang w:val="en-US" w:eastAsia="zh-CN" w:bidi="ar"/>
              </w:rPr>
              <w:t>金融管理</w:t>
            </w:r>
          </w:p>
        </w:tc>
        <w:tc>
          <w:tcPr>
            <w:tcW w:w="1526" w:type="dxa"/>
            <w:tcBorders>
              <w:top w:val="single" w:color="4BACC6" w:sz="8" w:space="0"/>
              <w:bottom w:val="single" w:color="4BACC6" w:sz="8" w:space="0"/>
              <w:right w:val="single" w:color="4BACC6" w:sz="8" w:space="0"/>
            </w:tcBorders>
            <w:shd w:val="clear" w:color="auto" w:fill="D2EAF0"/>
            <w:noWrap w:val="0"/>
            <w:vAlign w:val="top"/>
          </w:tcPr>
          <w:p>
            <w:pPr>
              <w:keepNext w:val="0"/>
              <w:keepLines w:val="0"/>
              <w:widowControl/>
              <w:suppressLineNumbers w:val="0"/>
              <w:jc w:val="center"/>
              <w:textAlignment w:val="top"/>
              <w:rPr>
                <w:rFonts w:hint="default" w:ascii="宋体" w:hAnsi="宋体" w:eastAsia="宋体"/>
                <w:sz w:val="20"/>
                <w:szCs w:val="20"/>
                <w:highlight w:val="yellow"/>
                <w:lang w:val="en-US" w:eastAsia="zh-CN"/>
              </w:rPr>
            </w:pPr>
            <w:r>
              <w:rPr>
                <w:rFonts w:hint="eastAsia" w:ascii="宋体" w:hAnsi="宋体" w:eastAsia="宋体" w:cs="宋体"/>
                <w:i w:val="0"/>
                <w:iCs w:val="0"/>
                <w:color w:val="000000"/>
                <w:kern w:val="0"/>
                <w:sz w:val="20"/>
                <w:szCs w:val="20"/>
                <w:u w:val="none"/>
                <w:lang w:val="en-US" w:eastAsia="zh-CN" w:bidi="ar"/>
              </w:rPr>
              <w:t>58</w:t>
            </w:r>
          </w:p>
        </w:tc>
        <w:tc>
          <w:tcPr>
            <w:tcW w:w="1665" w:type="dxa"/>
            <w:tcBorders>
              <w:top w:val="single" w:color="4BACC6" w:sz="8" w:space="0"/>
              <w:bottom w:val="single" w:color="4BACC6" w:sz="8" w:space="0"/>
              <w:right w:val="single" w:color="4BACC6" w:sz="8" w:space="0"/>
            </w:tcBorders>
            <w:shd w:val="clear" w:color="auto" w:fill="D2EAF0"/>
            <w:noWrap w:val="0"/>
            <w:vAlign w:val="top"/>
          </w:tcPr>
          <w:p>
            <w:pPr>
              <w:keepNext w:val="0"/>
              <w:keepLines w:val="0"/>
              <w:widowControl/>
              <w:suppressLineNumbers w:val="0"/>
              <w:jc w:val="center"/>
              <w:textAlignment w:val="top"/>
              <w:rPr>
                <w:rFonts w:ascii="宋体" w:hAnsi="宋体" w:eastAsia="宋体"/>
                <w:sz w:val="20"/>
                <w:szCs w:val="20"/>
                <w:highlight w:val="none"/>
                <w:lang w:val="ru-RU"/>
              </w:rPr>
            </w:pPr>
            <w:r>
              <w:rPr>
                <w:rFonts w:hint="eastAsia" w:ascii="宋体" w:hAnsi="宋体" w:eastAsia="宋体" w:cs="宋体"/>
                <w:i w:val="0"/>
                <w:iCs w:val="0"/>
                <w:color w:val="000000"/>
                <w:kern w:val="0"/>
                <w:sz w:val="20"/>
                <w:szCs w:val="20"/>
                <w:u w:val="none"/>
                <w:lang w:val="en-US" w:eastAsia="zh-CN" w:bidi="ar"/>
              </w:rPr>
              <w:t>15</w:t>
            </w:r>
          </w:p>
        </w:tc>
        <w:tc>
          <w:tcPr>
            <w:tcW w:w="1576" w:type="dxa"/>
            <w:tcBorders>
              <w:top w:val="single" w:color="4BACC6" w:sz="8" w:space="0"/>
              <w:bottom w:val="single" w:color="4BACC6" w:sz="8" w:space="0"/>
              <w:right w:val="single" w:color="4BACC6" w:sz="8" w:space="0"/>
            </w:tcBorders>
            <w:shd w:val="clear" w:color="auto" w:fill="D2EAF0"/>
            <w:noWrap w:val="0"/>
            <w:vAlign w:val="top"/>
          </w:tcPr>
          <w:p>
            <w:pPr>
              <w:keepNext w:val="0"/>
              <w:keepLines w:val="0"/>
              <w:widowControl/>
              <w:suppressLineNumbers w:val="0"/>
              <w:jc w:val="center"/>
              <w:textAlignment w:val="top"/>
              <w:rPr>
                <w:rFonts w:ascii="宋体" w:hAnsi="宋体" w:eastAsia="宋体"/>
                <w:sz w:val="20"/>
                <w:szCs w:val="20"/>
                <w:highlight w:val="none"/>
                <w:lang w:val="ru-RU"/>
              </w:rPr>
            </w:pPr>
            <w:r>
              <w:rPr>
                <w:rFonts w:hint="eastAsia" w:ascii="宋体" w:hAnsi="宋体" w:eastAsia="宋体" w:cs="宋体"/>
                <w:i w:val="0"/>
                <w:iCs w:val="0"/>
                <w:color w:val="000000"/>
                <w:kern w:val="0"/>
                <w:sz w:val="20"/>
                <w:szCs w:val="20"/>
                <w:u w:val="none"/>
                <w:lang w:val="en-US" w:eastAsia="zh-CN" w:bidi="ar"/>
              </w:rPr>
              <w:t>100.0%</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335" w:hRule="atLeast"/>
        </w:trPr>
        <w:tc>
          <w:tcPr>
            <w:tcW w:w="3575" w:type="dxa"/>
            <w:tcBorders>
              <w:top w:val="single" w:color="4BACC6" w:sz="8" w:space="0"/>
              <w:left w:val="single" w:color="4BACC6" w:sz="8" w:space="0"/>
              <w:bottom w:val="single" w:color="4BACC6" w:sz="8" w:space="0"/>
              <w:right w:val="single" w:color="4BACC6" w:sz="8" w:space="0"/>
            </w:tcBorders>
            <w:noWrap w:val="0"/>
            <w:vAlign w:val="top"/>
          </w:tcPr>
          <w:p>
            <w:pPr>
              <w:keepNext w:val="0"/>
              <w:keepLines w:val="0"/>
              <w:widowControl/>
              <w:suppressLineNumbers w:val="0"/>
              <w:jc w:val="center"/>
              <w:textAlignment w:val="top"/>
              <w:rPr>
                <w:rFonts w:ascii="宋体" w:hAnsi="宋体" w:eastAsia="宋体" w:cs="Times New Roman"/>
                <w:b w:val="0"/>
                <w:bCs/>
                <w:sz w:val="20"/>
                <w:szCs w:val="20"/>
                <w:highlight w:val="yellow"/>
                <w:lang w:val="ru-RU"/>
              </w:rPr>
            </w:pPr>
            <w:r>
              <w:rPr>
                <w:rStyle w:val="27"/>
                <w:lang w:val="en-US" w:eastAsia="zh-CN" w:bidi="ar"/>
              </w:rPr>
              <w:t>电梯工程技术</w:t>
            </w:r>
          </w:p>
        </w:tc>
        <w:tc>
          <w:tcPr>
            <w:tcW w:w="1526" w:type="dxa"/>
            <w:tcBorders>
              <w:top w:val="single" w:color="4BACC6" w:sz="8" w:space="0"/>
              <w:bottom w:val="single" w:color="4BACC6" w:sz="8" w:space="0"/>
              <w:right w:val="single" w:color="4BACC6" w:sz="8" w:space="0"/>
            </w:tcBorders>
            <w:noWrap w:val="0"/>
            <w:vAlign w:val="top"/>
          </w:tcPr>
          <w:p>
            <w:pPr>
              <w:keepNext w:val="0"/>
              <w:keepLines w:val="0"/>
              <w:widowControl/>
              <w:suppressLineNumbers w:val="0"/>
              <w:jc w:val="center"/>
              <w:textAlignment w:val="top"/>
              <w:rPr>
                <w:rFonts w:hint="default" w:ascii="宋体" w:hAnsi="宋体" w:eastAsia="宋体"/>
                <w:sz w:val="20"/>
                <w:szCs w:val="20"/>
                <w:highlight w:val="yellow"/>
                <w:lang w:val="en-US" w:eastAsia="zh-CN"/>
              </w:rPr>
            </w:pPr>
            <w:r>
              <w:rPr>
                <w:rFonts w:hint="eastAsia" w:ascii="宋体" w:hAnsi="宋体" w:eastAsia="宋体" w:cs="宋体"/>
                <w:i w:val="0"/>
                <w:iCs w:val="0"/>
                <w:color w:val="000000"/>
                <w:kern w:val="0"/>
                <w:sz w:val="20"/>
                <w:szCs w:val="20"/>
                <w:u w:val="none"/>
                <w:lang w:val="en-US" w:eastAsia="zh-CN" w:bidi="ar"/>
              </w:rPr>
              <w:t>252</w:t>
            </w:r>
          </w:p>
        </w:tc>
        <w:tc>
          <w:tcPr>
            <w:tcW w:w="1665" w:type="dxa"/>
            <w:tcBorders>
              <w:top w:val="single" w:color="4BACC6" w:sz="8" w:space="0"/>
              <w:bottom w:val="single" w:color="4BACC6" w:sz="8" w:space="0"/>
              <w:right w:val="single" w:color="4BACC6" w:sz="8" w:space="0"/>
            </w:tcBorders>
            <w:noWrap w:val="0"/>
            <w:vAlign w:val="top"/>
          </w:tcPr>
          <w:p>
            <w:pPr>
              <w:keepNext w:val="0"/>
              <w:keepLines w:val="0"/>
              <w:widowControl/>
              <w:suppressLineNumbers w:val="0"/>
              <w:jc w:val="center"/>
              <w:textAlignment w:val="top"/>
              <w:rPr>
                <w:rFonts w:ascii="宋体" w:hAnsi="宋体" w:eastAsia="宋体"/>
                <w:sz w:val="20"/>
                <w:szCs w:val="20"/>
                <w:highlight w:val="none"/>
                <w:lang w:val="ru-RU"/>
              </w:rPr>
            </w:pPr>
            <w:r>
              <w:rPr>
                <w:rFonts w:hint="eastAsia" w:ascii="宋体" w:hAnsi="宋体" w:eastAsia="宋体" w:cs="宋体"/>
                <w:i w:val="0"/>
                <w:iCs w:val="0"/>
                <w:color w:val="000000"/>
                <w:kern w:val="0"/>
                <w:sz w:val="20"/>
                <w:szCs w:val="20"/>
                <w:u w:val="none"/>
                <w:lang w:val="en-US" w:eastAsia="zh-CN" w:bidi="ar"/>
              </w:rPr>
              <w:t>80</w:t>
            </w:r>
          </w:p>
        </w:tc>
        <w:tc>
          <w:tcPr>
            <w:tcW w:w="1576" w:type="dxa"/>
            <w:tcBorders>
              <w:top w:val="single" w:color="4BACC6" w:sz="8" w:space="0"/>
              <w:bottom w:val="single" w:color="4BACC6" w:sz="8" w:space="0"/>
              <w:right w:val="single" w:color="4BACC6" w:sz="8" w:space="0"/>
            </w:tcBorders>
            <w:noWrap w:val="0"/>
            <w:vAlign w:val="top"/>
          </w:tcPr>
          <w:p>
            <w:pPr>
              <w:keepNext w:val="0"/>
              <w:keepLines w:val="0"/>
              <w:widowControl/>
              <w:suppressLineNumbers w:val="0"/>
              <w:jc w:val="center"/>
              <w:textAlignment w:val="top"/>
              <w:rPr>
                <w:rFonts w:ascii="宋体" w:hAnsi="宋体" w:eastAsia="宋体"/>
                <w:sz w:val="20"/>
                <w:szCs w:val="20"/>
                <w:highlight w:val="none"/>
                <w:lang w:val="ru-RU"/>
              </w:rPr>
            </w:pPr>
            <w:r>
              <w:rPr>
                <w:rFonts w:hint="eastAsia" w:ascii="宋体" w:hAnsi="宋体" w:eastAsia="宋体" w:cs="宋体"/>
                <w:i w:val="0"/>
                <w:iCs w:val="0"/>
                <w:color w:val="000000"/>
                <w:kern w:val="0"/>
                <w:sz w:val="20"/>
                <w:szCs w:val="20"/>
                <w:u w:val="none"/>
                <w:lang w:val="en-US" w:eastAsia="zh-CN" w:bidi="ar"/>
              </w:rPr>
              <w:t>92.5%</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335" w:hRule="atLeast"/>
        </w:trPr>
        <w:tc>
          <w:tcPr>
            <w:tcW w:w="3575" w:type="dxa"/>
            <w:tcBorders>
              <w:top w:val="single" w:color="4BACC6" w:sz="8" w:space="0"/>
              <w:left w:val="single" w:color="4BACC6" w:sz="8" w:space="0"/>
              <w:bottom w:val="single" w:color="4BACC6" w:sz="8" w:space="0"/>
              <w:right w:val="single" w:color="4BACC6" w:sz="8" w:space="0"/>
            </w:tcBorders>
            <w:shd w:val="clear" w:color="auto" w:fill="D2EAF0"/>
            <w:noWrap w:val="0"/>
            <w:vAlign w:val="top"/>
          </w:tcPr>
          <w:p>
            <w:pPr>
              <w:keepNext w:val="0"/>
              <w:keepLines w:val="0"/>
              <w:widowControl/>
              <w:suppressLineNumbers w:val="0"/>
              <w:jc w:val="center"/>
              <w:textAlignment w:val="top"/>
              <w:rPr>
                <w:rFonts w:hint="default" w:ascii="宋体" w:hAnsi="宋体" w:eastAsia="宋体" w:cs="Times New Roman"/>
                <w:b w:val="0"/>
                <w:bCs/>
                <w:sz w:val="20"/>
                <w:szCs w:val="20"/>
                <w:highlight w:val="yellow"/>
                <w:lang w:val="en-US" w:eastAsia="zh-CN"/>
              </w:rPr>
            </w:pPr>
            <w:r>
              <w:rPr>
                <w:rStyle w:val="27"/>
                <w:lang w:val="en-US" w:eastAsia="zh-CN" w:bidi="ar"/>
              </w:rPr>
              <w:t>机电一体化技术</w:t>
            </w:r>
          </w:p>
        </w:tc>
        <w:tc>
          <w:tcPr>
            <w:tcW w:w="1526" w:type="dxa"/>
            <w:tcBorders>
              <w:top w:val="single" w:color="4BACC6" w:sz="8" w:space="0"/>
              <w:bottom w:val="single" w:color="4BACC6" w:sz="8" w:space="0"/>
              <w:right w:val="single" w:color="4BACC6" w:sz="8" w:space="0"/>
            </w:tcBorders>
            <w:shd w:val="clear" w:color="auto" w:fill="D2EAF0"/>
            <w:noWrap w:val="0"/>
            <w:vAlign w:val="top"/>
          </w:tcPr>
          <w:p>
            <w:pPr>
              <w:keepNext w:val="0"/>
              <w:keepLines w:val="0"/>
              <w:widowControl/>
              <w:suppressLineNumbers w:val="0"/>
              <w:jc w:val="center"/>
              <w:textAlignment w:val="top"/>
              <w:rPr>
                <w:rFonts w:hint="default" w:ascii="宋体" w:hAnsi="宋体" w:eastAsia="宋体"/>
                <w:sz w:val="20"/>
                <w:szCs w:val="20"/>
                <w:highlight w:val="yellow"/>
                <w:lang w:val="en-US" w:eastAsia="zh-CN"/>
              </w:rPr>
            </w:pPr>
            <w:r>
              <w:rPr>
                <w:rFonts w:hint="eastAsia" w:ascii="宋体" w:hAnsi="宋体" w:eastAsia="宋体" w:cs="宋体"/>
                <w:i w:val="0"/>
                <w:iCs w:val="0"/>
                <w:color w:val="000000"/>
                <w:kern w:val="0"/>
                <w:sz w:val="20"/>
                <w:szCs w:val="20"/>
                <w:u w:val="none"/>
                <w:lang w:val="en-US" w:eastAsia="zh-CN" w:bidi="ar"/>
              </w:rPr>
              <w:t>221</w:t>
            </w:r>
          </w:p>
        </w:tc>
        <w:tc>
          <w:tcPr>
            <w:tcW w:w="1665" w:type="dxa"/>
            <w:tcBorders>
              <w:top w:val="single" w:color="4BACC6" w:sz="8" w:space="0"/>
              <w:bottom w:val="single" w:color="4BACC6" w:sz="8" w:space="0"/>
              <w:right w:val="single" w:color="4BACC6" w:sz="8" w:space="0"/>
            </w:tcBorders>
            <w:shd w:val="clear" w:color="auto" w:fill="D2EAF0"/>
            <w:noWrap w:val="0"/>
            <w:vAlign w:val="top"/>
          </w:tcPr>
          <w:p>
            <w:pPr>
              <w:keepNext w:val="0"/>
              <w:keepLines w:val="0"/>
              <w:widowControl/>
              <w:suppressLineNumbers w:val="0"/>
              <w:jc w:val="center"/>
              <w:textAlignment w:val="top"/>
              <w:rPr>
                <w:rFonts w:ascii="宋体" w:hAnsi="宋体" w:eastAsia="宋体"/>
                <w:sz w:val="20"/>
                <w:szCs w:val="20"/>
                <w:highlight w:val="none"/>
                <w:lang w:val="ru-RU"/>
              </w:rPr>
            </w:pPr>
            <w:r>
              <w:rPr>
                <w:rFonts w:hint="eastAsia" w:ascii="宋体" w:hAnsi="宋体" w:eastAsia="宋体" w:cs="宋体"/>
                <w:i w:val="0"/>
                <w:iCs w:val="0"/>
                <w:color w:val="000000"/>
                <w:kern w:val="0"/>
                <w:sz w:val="20"/>
                <w:szCs w:val="20"/>
                <w:u w:val="none"/>
                <w:lang w:val="en-US" w:eastAsia="zh-CN" w:bidi="ar"/>
              </w:rPr>
              <w:t>80</w:t>
            </w:r>
          </w:p>
        </w:tc>
        <w:tc>
          <w:tcPr>
            <w:tcW w:w="1576" w:type="dxa"/>
            <w:tcBorders>
              <w:top w:val="single" w:color="4BACC6" w:sz="8" w:space="0"/>
              <w:bottom w:val="single" w:color="4BACC6" w:sz="8" w:space="0"/>
              <w:right w:val="single" w:color="4BACC6" w:sz="8" w:space="0"/>
            </w:tcBorders>
            <w:shd w:val="clear" w:color="auto" w:fill="D2EAF0"/>
            <w:noWrap w:val="0"/>
            <w:vAlign w:val="top"/>
          </w:tcPr>
          <w:p>
            <w:pPr>
              <w:keepNext w:val="0"/>
              <w:keepLines w:val="0"/>
              <w:widowControl/>
              <w:suppressLineNumbers w:val="0"/>
              <w:jc w:val="center"/>
              <w:textAlignment w:val="top"/>
              <w:rPr>
                <w:rFonts w:ascii="宋体" w:hAnsi="宋体" w:eastAsia="宋体"/>
                <w:sz w:val="20"/>
                <w:szCs w:val="20"/>
                <w:highlight w:val="none"/>
                <w:lang w:val="ru-RU"/>
              </w:rPr>
            </w:pPr>
            <w:r>
              <w:rPr>
                <w:rFonts w:hint="eastAsia" w:ascii="宋体" w:hAnsi="宋体" w:eastAsia="宋体" w:cs="宋体"/>
                <w:i w:val="0"/>
                <w:iCs w:val="0"/>
                <w:color w:val="000000"/>
                <w:kern w:val="0"/>
                <w:sz w:val="20"/>
                <w:szCs w:val="20"/>
                <w:u w:val="none"/>
                <w:lang w:val="en-US" w:eastAsia="zh-CN" w:bidi="ar"/>
              </w:rPr>
              <w:t>95.0%</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352" w:hRule="atLeast"/>
        </w:trPr>
        <w:tc>
          <w:tcPr>
            <w:tcW w:w="3575" w:type="dxa"/>
            <w:tcBorders>
              <w:top w:val="single" w:color="4BACC6" w:sz="8" w:space="0"/>
              <w:left w:val="single" w:color="4BACC6" w:sz="8" w:space="0"/>
              <w:bottom w:val="single" w:color="4BACC6" w:sz="8" w:space="0"/>
              <w:right w:val="single" w:color="4BACC6" w:sz="8" w:space="0"/>
            </w:tcBorders>
            <w:noWrap w:val="0"/>
            <w:vAlign w:val="top"/>
          </w:tcPr>
          <w:p>
            <w:pPr>
              <w:keepNext w:val="0"/>
              <w:keepLines w:val="0"/>
              <w:widowControl/>
              <w:suppressLineNumbers w:val="0"/>
              <w:jc w:val="center"/>
              <w:textAlignment w:val="top"/>
              <w:rPr>
                <w:rFonts w:ascii="宋体" w:hAnsi="宋体" w:eastAsia="宋体" w:cs="Times New Roman"/>
                <w:b w:val="0"/>
                <w:bCs/>
                <w:sz w:val="20"/>
                <w:szCs w:val="20"/>
                <w:highlight w:val="yellow"/>
                <w:lang w:val="ru-RU"/>
              </w:rPr>
            </w:pPr>
            <w:r>
              <w:rPr>
                <w:rStyle w:val="27"/>
                <w:lang w:val="en-US" w:eastAsia="zh-CN" w:bidi="ar"/>
              </w:rPr>
              <w:t>物联网应用技术</w:t>
            </w:r>
          </w:p>
        </w:tc>
        <w:tc>
          <w:tcPr>
            <w:tcW w:w="1526" w:type="dxa"/>
            <w:tcBorders>
              <w:top w:val="single" w:color="4BACC6" w:sz="8" w:space="0"/>
              <w:bottom w:val="single" w:color="4BACC6" w:sz="8" w:space="0"/>
              <w:right w:val="single" w:color="4BACC6" w:sz="8" w:space="0"/>
            </w:tcBorders>
            <w:noWrap w:val="0"/>
            <w:vAlign w:val="top"/>
          </w:tcPr>
          <w:p>
            <w:pPr>
              <w:keepNext w:val="0"/>
              <w:keepLines w:val="0"/>
              <w:widowControl/>
              <w:suppressLineNumbers w:val="0"/>
              <w:jc w:val="center"/>
              <w:textAlignment w:val="top"/>
              <w:rPr>
                <w:rFonts w:hint="default" w:ascii="宋体" w:hAnsi="宋体" w:eastAsia="宋体"/>
                <w:sz w:val="20"/>
                <w:szCs w:val="20"/>
                <w:highlight w:val="yellow"/>
                <w:lang w:val="en-US" w:eastAsia="zh-CN"/>
              </w:rPr>
            </w:pPr>
            <w:r>
              <w:rPr>
                <w:rFonts w:hint="eastAsia" w:ascii="宋体" w:hAnsi="宋体" w:eastAsia="宋体" w:cs="宋体"/>
                <w:i w:val="0"/>
                <w:iCs w:val="0"/>
                <w:color w:val="000000"/>
                <w:kern w:val="0"/>
                <w:sz w:val="20"/>
                <w:szCs w:val="20"/>
                <w:u w:val="none"/>
                <w:lang w:val="en-US" w:eastAsia="zh-CN" w:bidi="ar"/>
              </w:rPr>
              <w:t>36</w:t>
            </w:r>
          </w:p>
        </w:tc>
        <w:tc>
          <w:tcPr>
            <w:tcW w:w="1665" w:type="dxa"/>
            <w:tcBorders>
              <w:top w:val="single" w:color="4BACC6" w:sz="8" w:space="0"/>
              <w:bottom w:val="single" w:color="4BACC6" w:sz="8" w:space="0"/>
              <w:right w:val="single" w:color="4BACC6" w:sz="8" w:space="0"/>
            </w:tcBorders>
            <w:noWrap w:val="0"/>
            <w:vAlign w:val="top"/>
          </w:tcPr>
          <w:p>
            <w:pPr>
              <w:keepNext w:val="0"/>
              <w:keepLines w:val="0"/>
              <w:widowControl/>
              <w:suppressLineNumbers w:val="0"/>
              <w:jc w:val="center"/>
              <w:textAlignment w:val="top"/>
              <w:rPr>
                <w:rFonts w:hint="default" w:ascii="宋体" w:hAnsi="宋体" w:eastAsia="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20</w:t>
            </w:r>
          </w:p>
        </w:tc>
        <w:tc>
          <w:tcPr>
            <w:tcW w:w="1576" w:type="dxa"/>
            <w:tcBorders>
              <w:top w:val="single" w:color="4BACC6" w:sz="8" w:space="0"/>
              <w:bottom w:val="single" w:color="4BACC6" w:sz="8" w:space="0"/>
              <w:right w:val="single" w:color="4BACC6" w:sz="8" w:space="0"/>
            </w:tcBorders>
            <w:noWrap w:val="0"/>
            <w:vAlign w:val="top"/>
          </w:tcPr>
          <w:p>
            <w:pPr>
              <w:keepNext w:val="0"/>
              <w:keepLines w:val="0"/>
              <w:widowControl/>
              <w:suppressLineNumbers w:val="0"/>
              <w:jc w:val="center"/>
              <w:textAlignment w:val="top"/>
              <w:rPr>
                <w:rFonts w:ascii="宋体" w:hAnsi="宋体" w:eastAsia="宋体"/>
                <w:sz w:val="20"/>
                <w:szCs w:val="20"/>
                <w:highlight w:val="none"/>
                <w:lang w:val="ru-RU"/>
              </w:rPr>
            </w:pPr>
            <w:r>
              <w:rPr>
                <w:rFonts w:hint="eastAsia" w:ascii="宋体" w:hAnsi="宋体" w:eastAsia="宋体" w:cs="宋体"/>
                <w:i w:val="0"/>
                <w:iCs w:val="0"/>
                <w:color w:val="000000"/>
                <w:kern w:val="0"/>
                <w:sz w:val="20"/>
                <w:szCs w:val="20"/>
                <w:u w:val="none"/>
                <w:lang w:val="en-US" w:eastAsia="zh-CN" w:bidi="ar"/>
              </w:rPr>
              <w:t>100.0%</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352" w:hRule="atLeast"/>
        </w:trPr>
        <w:tc>
          <w:tcPr>
            <w:tcW w:w="3575" w:type="dxa"/>
            <w:tcBorders>
              <w:top w:val="single" w:color="4BACC6" w:sz="8" w:space="0"/>
              <w:left w:val="single" w:color="4BACC6" w:sz="8" w:space="0"/>
              <w:bottom w:val="single" w:color="4BACC6" w:sz="8" w:space="0"/>
              <w:right w:val="single" w:color="4BACC6" w:sz="8" w:space="0"/>
            </w:tcBorders>
            <w:shd w:val="clear" w:color="auto" w:fill="D2EAF0"/>
            <w:noWrap w:val="0"/>
            <w:vAlign w:val="top"/>
          </w:tcPr>
          <w:p>
            <w:pPr>
              <w:keepNext w:val="0"/>
              <w:keepLines w:val="0"/>
              <w:widowControl/>
              <w:suppressLineNumbers w:val="0"/>
              <w:jc w:val="center"/>
              <w:textAlignment w:val="top"/>
              <w:rPr>
                <w:rFonts w:ascii="宋体" w:hAnsi="宋体" w:eastAsia="宋体" w:cs="Times New Roman"/>
                <w:b w:val="0"/>
                <w:bCs/>
                <w:sz w:val="20"/>
                <w:szCs w:val="20"/>
                <w:highlight w:val="yellow"/>
                <w:lang w:val="ru-RU"/>
              </w:rPr>
            </w:pPr>
            <w:r>
              <w:rPr>
                <w:rStyle w:val="27"/>
                <w:lang w:val="en-US" w:eastAsia="zh-CN" w:bidi="ar"/>
              </w:rPr>
              <w:t>电子商务</w:t>
            </w:r>
          </w:p>
        </w:tc>
        <w:tc>
          <w:tcPr>
            <w:tcW w:w="1526" w:type="dxa"/>
            <w:tcBorders>
              <w:top w:val="single" w:color="4BACC6" w:sz="8" w:space="0"/>
              <w:bottom w:val="single" w:color="4BACC6" w:sz="8" w:space="0"/>
              <w:right w:val="single" w:color="4BACC6" w:sz="8" w:space="0"/>
            </w:tcBorders>
            <w:shd w:val="clear" w:color="auto" w:fill="D2EAF0"/>
            <w:noWrap w:val="0"/>
            <w:vAlign w:val="top"/>
          </w:tcPr>
          <w:p>
            <w:pPr>
              <w:keepNext w:val="0"/>
              <w:keepLines w:val="0"/>
              <w:widowControl/>
              <w:suppressLineNumbers w:val="0"/>
              <w:jc w:val="center"/>
              <w:textAlignment w:val="top"/>
              <w:rPr>
                <w:rFonts w:hint="default" w:ascii="宋体" w:hAnsi="宋体" w:eastAsia="宋体"/>
                <w:sz w:val="20"/>
                <w:szCs w:val="20"/>
                <w:highlight w:val="yellow"/>
                <w:lang w:val="en-US" w:eastAsia="zh-CN"/>
              </w:rPr>
            </w:pPr>
            <w:r>
              <w:rPr>
                <w:rFonts w:hint="eastAsia" w:ascii="宋体" w:hAnsi="宋体" w:eastAsia="宋体" w:cs="宋体"/>
                <w:i w:val="0"/>
                <w:iCs w:val="0"/>
                <w:color w:val="000000"/>
                <w:kern w:val="0"/>
                <w:sz w:val="20"/>
                <w:szCs w:val="20"/>
                <w:u w:val="none"/>
                <w:lang w:val="en-US" w:eastAsia="zh-CN" w:bidi="ar"/>
              </w:rPr>
              <w:t>433</w:t>
            </w:r>
          </w:p>
        </w:tc>
        <w:tc>
          <w:tcPr>
            <w:tcW w:w="1665" w:type="dxa"/>
            <w:tcBorders>
              <w:top w:val="single" w:color="4BACC6" w:sz="8" w:space="0"/>
              <w:bottom w:val="single" w:color="4BACC6" w:sz="8" w:space="0"/>
              <w:right w:val="single" w:color="4BACC6" w:sz="8" w:space="0"/>
            </w:tcBorders>
            <w:shd w:val="clear" w:color="auto" w:fill="D2EAF0"/>
            <w:noWrap w:val="0"/>
            <w:vAlign w:val="top"/>
          </w:tcPr>
          <w:p>
            <w:pPr>
              <w:keepNext w:val="0"/>
              <w:keepLines w:val="0"/>
              <w:widowControl/>
              <w:suppressLineNumbers w:val="0"/>
              <w:jc w:val="center"/>
              <w:textAlignment w:val="top"/>
              <w:rPr>
                <w:rFonts w:ascii="宋体" w:hAnsi="宋体" w:eastAsia="宋体"/>
                <w:sz w:val="20"/>
                <w:szCs w:val="20"/>
                <w:highlight w:val="none"/>
                <w:lang w:val="ru-RU"/>
              </w:rPr>
            </w:pPr>
            <w:r>
              <w:rPr>
                <w:rFonts w:hint="eastAsia" w:ascii="宋体" w:hAnsi="宋体" w:eastAsia="宋体" w:cs="宋体"/>
                <w:i w:val="0"/>
                <w:iCs w:val="0"/>
                <w:color w:val="000000"/>
                <w:kern w:val="0"/>
                <w:sz w:val="20"/>
                <w:szCs w:val="20"/>
                <w:u w:val="none"/>
                <w:lang w:val="en-US" w:eastAsia="zh-CN" w:bidi="ar"/>
              </w:rPr>
              <w:t>100</w:t>
            </w:r>
          </w:p>
        </w:tc>
        <w:tc>
          <w:tcPr>
            <w:tcW w:w="1576" w:type="dxa"/>
            <w:tcBorders>
              <w:top w:val="single" w:color="4BACC6" w:sz="8" w:space="0"/>
              <w:bottom w:val="single" w:color="4BACC6" w:sz="8" w:space="0"/>
              <w:right w:val="single" w:color="4BACC6" w:sz="8" w:space="0"/>
            </w:tcBorders>
            <w:shd w:val="clear" w:color="auto" w:fill="D2EAF0"/>
            <w:noWrap w:val="0"/>
            <w:vAlign w:val="top"/>
          </w:tcPr>
          <w:p>
            <w:pPr>
              <w:keepNext w:val="0"/>
              <w:keepLines w:val="0"/>
              <w:widowControl/>
              <w:suppressLineNumbers w:val="0"/>
              <w:jc w:val="center"/>
              <w:textAlignment w:val="top"/>
              <w:rPr>
                <w:rFonts w:ascii="宋体" w:hAnsi="宋体" w:eastAsia="宋体"/>
                <w:sz w:val="20"/>
                <w:szCs w:val="20"/>
                <w:highlight w:val="none"/>
                <w:lang w:val="ru-RU"/>
              </w:rPr>
            </w:pPr>
            <w:r>
              <w:rPr>
                <w:rFonts w:hint="eastAsia" w:ascii="宋体" w:hAnsi="宋体" w:eastAsia="宋体" w:cs="宋体"/>
                <w:i w:val="0"/>
                <w:iCs w:val="0"/>
                <w:color w:val="000000"/>
                <w:kern w:val="0"/>
                <w:sz w:val="20"/>
                <w:szCs w:val="20"/>
                <w:u w:val="none"/>
                <w:lang w:val="en-US" w:eastAsia="zh-CN" w:bidi="ar"/>
              </w:rPr>
              <w:t>93.0%</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352" w:hRule="atLeast"/>
        </w:trPr>
        <w:tc>
          <w:tcPr>
            <w:tcW w:w="3575" w:type="dxa"/>
            <w:tcBorders>
              <w:top w:val="single" w:color="4BACC6" w:sz="8" w:space="0"/>
              <w:left w:val="single" w:color="4BACC6" w:sz="8" w:space="0"/>
              <w:bottom w:val="single" w:color="4BACC6" w:sz="8" w:space="0"/>
              <w:right w:val="single" w:color="4BACC6" w:sz="8" w:space="0"/>
            </w:tcBorders>
            <w:noWrap w:val="0"/>
            <w:vAlign w:val="top"/>
          </w:tcPr>
          <w:p>
            <w:pPr>
              <w:keepNext w:val="0"/>
              <w:keepLines w:val="0"/>
              <w:widowControl/>
              <w:suppressLineNumbers w:val="0"/>
              <w:jc w:val="center"/>
              <w:textAlignment w:val="top"/>
              <w:rPr>
                <w:rFonts w:ascii="宋体" w:hAnsi="宋体" w:eastAsia="宋体" w:cs="Times New Roman"/>
                <w:b w:val="0"/>
                <w:bCs/>
                <w:sz w:val="20"/>
                <w:szCs w:val="20"/>
                <w:highlight w:val="yellow"/>
                <w:lang w:val="ru-RU"/>
              </w:rPr>
            </w:pPr>
            <w:r>
              <w:rPr>
                <w:rStyle w:val="27"/>
                <w:lang w:val="en-US" w:eastAsia="zh-CN" w:bidi="ar"/>
              </w:rPr>
              <w:t>服装与服饰设计</w:t>
            </w:r>
          </w:p>
        </w:tc>
        <w:tc>
          <w:tcPr>
            <w:tcW w:w="1526" w:type="dxa"/>
            <w:tcBorders>
              <w:top w:val="single" w:color="4BACC6" w:sz="8" w:space="0"/>
              <w:bottom w:val="single" w:color="4BACC6" w:sz="8" w:space="0"/>
              <w:right w:val="single" w:color="4BACC6" w:sz="8" w:space="0"/>
            </w:tcBorders>
            <w:noWrap w:val="0"/>
            <w:vAlign w:val="top"/>
          </w:tcPr>
          <w:p>
            <w:pPr>
              <w:keepNext w:val="0"/>
              <w:keepLines w:val="0"/>
              <w:widowControl/>
              <w:suppressLineNumbers w:val="0"/>
              <w:jc w:val="center"/>
              <w:textAlignment w:val="top"/>
              <w:rPr>
                <w:rFonts w:hint="default" w:ascii="宋体" w:hAnsi="宋体" w:eastAsia="宋体"/>
                <w:sz w:val="20"/>
                <w:szCs w:val="20"/>
                <w:highlight w:val="yellow"/>
                <w:lang w:val="en-US" w:eastAsia="zh-CN"/>
              </w:rPr>
            </w:pPr>
            <w:r>
              <w:rPr>
                <w:rFonts w:hint="eastAsia" w:ascii="宋体" w:hAnsi="宋体" w:eastAsia="宋体" w:cs="宋体"/>
                <w:i w:val="0"/>
                <w:iCs w:val="0"/>
                <w:color w:val="000000"/>
                <w:kern w:val="0"/>
                <w:sz w:val="20"/>
                <w:szCs w:val="20"/>
                <w:u w:val="none"/>
                <w:lang w:val="en-US" w:eastAsia="zh-CN" w:bidi="ar"/>
              </w:rPr>
              <w:t>91</w:t>
            </w:r>
          </w:p>
        </w:tc>
        <w:tc>
          <w:tcPr>
            <w:tcW w:w="1665" w:type="dxa"/>
            <w:tcBorders>
              <w:top w:val="single" w:color="4BACC6" w:sz="8" w:space="0"/>
              <w:bottom w:val="single" w:color="4BACC6" w:sz="8" w:space="0"/>
              <w:right w:val="single" w:color="4BACC6" w:sz="8" w:space="0"/>
            </w:tcBorders>
            <w:noWrap w:val="0"/>
            <w:vAlign w:val="top"/>
          </w:tcPr>
          <w:p>
            <w:pPr>
              <w:keepNext w:val="0"/>
              <w:keepLines w:val="0"/>
              <w:widowControl/>
              <w:suppressLineNumbers w:val="0"/>
              <w:jc w:val="center"/>
              <w:textAlignment w:val="top"/>
              <w:rPr>
                <w:rFonts w:ascii="宋体" w:hAnsi="宋体" w:eastAsia="宋体"/>
                <w:sz w:val="20"/>
                <w:szCs w:val="20"/>
                <w:highlight w:val="none"/>
                <w:lang w:val="ru-RU"/>
              </w:rPr>
            </w:pPr>
            <w:r>
              <w:rPr>
                <w:rFonts w:hint="eastAsia" w:ascii="宋体" w:hAnsi="宋体" w:eastAsia="宋体" w:cs="宋体"/>
                <w:i w:val="0"/>
                <w:iCs w:val="0"/>
                <w:color w:val="000000"/>
                <w:kern w:val="0"/>
                <w:sz w:val="20"/>
                <w:szCs w:val="20"/>
                <w:u w:val="none"/>
                <w:lang w:val="en-US" w:eastAsia="zh-CN" w:bidi="ar"/>
              </w:rPr>
              <w:t>30</w:t>
            </w:r>
          </w:p>
        </w:tc>
        <w:tc>
          <w:tcPr>
            <w:tcW w:w="1576" w:type="dxa"/>
            <w:tcBorders>
              <w:top w:val="single" w:color="4BACC6" w:sz="8" w:space="0"/>
              <w:bottom w:val="single" w:color="4BACC6" w:sz="8" w:space="0"/>
              <w:right w:val="single" w:color="4BACC6" w:sz="8" w:space="0"/>
            </w:tcBorders>
            <w:noWrap w:val="0"/>
            <w:vAlign w:val="top"/>
          </w:tcPr>
          <w:p>
            <w:pPr>
              <w:keepNext w:val="0"/>
              <w:keepLines w:val="0"/>
              <w:widowControl/>
              <w:suppressLineNumbers w:val="0"/>
              <w:jc w:val="center"/>
              <w:textAlignment w:val="top"/>
              <w:rPr>
                <w:rFonts w:ascii="宋体" w:hAnsi="宋体" w:eastAsia="宋体"/>
                <w:sz w:val="20"/>
                <w:szCs w:val="20"/>
                <w:highlight w:val="none"/>
                <w:lang w:val="ru-RU"/>
              </w:rPr>
            </w:pPr>
            <w:r>
              <w:rPr>
                <w:rFonts w:hint="eastAsia" w:ascii="宋体" w:hAnsi="宋体" w:eastAsia="宋体" w:cs="宋体"/>
                <w:i w:val="0"/>
                <w:iCs w:val="0"/>
                <w:color w:val="000000"/>
                <w:kern w:val="0"/>
                <w:sz w:val="20"/>
                <w:szCs w:val="20"/>
                <w:u w:val="none"/>
                <w:lang w:val="en-US" w:eastAsia="zh-CN" w:bidi="ar"/>
              </w:rPr>
              <w:t>100.0%</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352" w:hRule="atLeast"/>
        </w:trPr>
        <w:tc>
          <w:tcPr>
            <w:tcW w:w="3575" w:type="dxa"/>
            <w:tcBorders>
              <w:top w:val="single" w:color="4BACC6" w:sz="8" w:space="0"/>
              <w:left w:val="single" w:color="4BACC6" w:sz="8" w:space="0"/>
              <w:bottom w:val="single" w:color="4BACC6" w:sz="8" w:space="0"/>
              <w:right w:val="single" w:color="4BACC6" w:sz="8" w:space="0"/>
            </w:tcBorders>
            <w:shd w:val="clear" w:color="auto" w:fill="D2EAF0"/>
            <w:noWrap w:val="0"/>
            <w:vAlign w:val="top"/>
          </w:tcPr>
          <w:p>
            <w:pPr>
              <w:keepNext w:val="0"/>
              <w:keepLines w:val="0"/>
              <w:widowControl/>
              <w:suppressLineNumbers w:val="0"/>
              <w:jc w:val="center"/>
              <w:textAlignment w:val="top"/>
              <w:rPr>
                <w:rFonts w:ascii="宋体" w:hAnsi="宋体" w:eastAsia="宋体" w:cs="Times New Roman"/>
                <w:b w:val="0"/>
                <w:bCs/>
                <w:sz w:val="20"/>
                <w:szCs w:val="20"/>
                <w:highlight w:val="yellow"/>
                <w:lang w:val="ru-RU"/>
              </w:rPr>
            </w:pPr>
            <w:r>
              <w:rPr>
                <w:rStyle w:val="27"/>
                <w:lang w:val="en-US" w:eastAsia="zh-CN" w:bidi="ar"/>
              </w:rPr>
              <w:t>广告设计与制作</w:t>
            </w:r>
          </w:p>
        </w:tc>
        <w:tc>
          <w:tcPr>
            <w:tcW w:w="1526" w:type="dxa"/>
            <w:tcBorders>
              <w:top w:val="single" w:color="4BACC6" w:sz="8" w:space="0"/>
              <w:bottom w:val="single" w:color="4BACC6" w:sz="8" w:space="0"/>
              <w:right w:val="single" w:color="4BACC6" w:sz="8" w:space="0"/>
            </w:tcBorders>
            <w:shd w:val="clear" w:color="auto" w:fill="D2EAF0"/>
            <w:noWrap w:val="0"/>
            <w:vAlign w:val="top"/>
          </w:tcPr>
          <w:p>
            <w:pPr>
              <w:keepNext w:val="0"/>
              <w:keepLines w:val="0"/>
              <w:widowControl/>
              <w:suppressLineNumbers w:val="0"/>
              <w:jc w:val="center"/>
              <w:textAlignment w:val="top"/>
              <w:rPr>
                <w:rFonts w:hint="default" w:ascii="宋体" w:hAnsi="宋体" w:eastAsia="宋体"/>
                <w:sz w:val="20"/>
                <w:szCs w:val="20"/>
                <w:highlight w:val="yellow"/>
                <w:lang w:val="en-US" w:eastAsia="zh-CN"/>
              </w:rPr>
            </w:pPr>
            <w:r>
              <w:rPr>
                <w:rFonts w:hint="eastAsia" w:ascii="宋体" w:hAnsi="宋体" w:eastAsia="宋体" w:cs="宋体"/>
                <w:i w:val="0"/>
                <w:iCs w:val="0"/>
                <w:color w:val="000000"/>
                <w:kern w:val="0"/>
                <w:sz w:val="20"/>
                <w:szCs w:val="20"/>
                <w:u w:val="none"/>
                <w:lang w:val="en-US" w:eastAsia="zh-CN" w:bidi="ar"/>
              </w:rPr>
              <w:t>189</w:t>
            </w:r>
          </w:p>
        </w:tc>
        <w:tc>
          <w:tcPr>
            <w:tcW w:w="1665" w:type="dxa"/>
            <w:tcBorders>
              <w:top w:val="single" w:color="4BACC6" w:sz="8" w:space="0"/>
              <w:bottom w:val="single" w:color="4BACC6" w:sz="8" w:space="0"/>
              <w:right w:val="single" w:color="4BACC6" w:sz="8" w:space="0"/>
            </w:tcBorders>
            <w:shd w:val="clear" w:color="auto" w:fill="D2EAF0"/>
            <w:noWrap w:val="0"/>
            <w:vAlign w:val="top"/>
          </w:tcPr>
          <w:p>
            <w:pPr>
              <w:keepNext w:val="0"/>
              <w:keepLines w:val="0"/>
              <w:widowControl/>
              <w:suppressLineNumbers w:val="0"/>
              <w:jc w:val="center"/>
              <w:textAlignment w:val="top"/>
              <w:rPr>
                <w:rFonts w:hint="default" w:ascii="宋体" w:hAnsi="宋体" w:eastAsia="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50</w:t>
            </w:r>
          </w:p>
        </w:tc>
        <w:tc>
          <w:tcPr>
            <w:tcW w:w="1576" w:type="dxa"/>
            <w:tcBorders>
              <w:top w:val="single" w:color="4BACC6" w:sz="8" w:space="0"/>
              <w:bottom w:val="single" w:color="4BACC6" w:sz="8" w:space="0"/>
              <w:right w:val="single" w:color="4BACC6" w:sz="8" w:space="0"/>
            </w:tcBorders>
            <w:shd w:val="clear" w:color="auto" w:fill="D2EAF0"/>
            <w:noWrap w:val="0"/>
            <w:vAlign w:val="top"/>
          </w:tcPr>
          <w:p>
            <w:pPr>
              <w:keepNext w:val="0"/>
              <w:keepLines w:val="0"/>
              <w:widowControl/>
              <w:suppressLineNumbers w:val="0"/>
              <w:jc w:val="center"/>
              <w:textAlignment w:val="top"/>
              <w:rPr>
                <w:rFonts w:ascii="宋体" w:hAnsi="宋体" w:eastAsia="宋体"/>
                <w:sz w:val="20"/>
                <w:szCs w:val="20"/>
                <w:highlight w:val="none"/>
                <w:lang w:val="ru-RU"/>
              </w:rPr>
            </w:pPr>
            <w:r>
              <w:rPr>
                <w:rFonts w:hint="eastAsia" w:ascii="宋体" w:hAnsi="宋体" w:eastAsia="宋体" w:cs="宋体"/>
                <w:i w:val="0"/>
                <w:iCs w:val="0"/>
                <w:color w:val="000000"/>
                <w:kern w:val="0"/>
                <w:sz w:val="20"/>
                <w:szCs w:val="20"/>
                <w:u w:val="none"/>
                <w:lang w:val="en-US" w:eastAsia="zh-CN" w:bidi="ar"/>
              </w:rPr>
              <w:t>96.0%</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352" w:hRule="atLeast"/>
        </w:trPr>
        <w:tc>
          <w:tcPr>
            <w:tcW w:w="3575" w:type="dxa"/>
            <w:tcBorders>
              <w:top w:val="single" w:color="4BACC6" w:sz="8" w:space="0"/>
              <w:left w:val="single" w:color="4BACC6" w:sz="8" w:space="0"/>
              <w:bottom w:val="single" w:color="4BACC6" w:sz="8" w:space="0"/>
              <w:right w:val="single" w:color="4BACC6" w:sz="8" w:space="0"/>
            </w:tcBorders>
            <w:noWrap w:val="0"/>
            <w:vAlign w:val="top"/>
          </w:tcPr>
          <w:p>
            <w:pPr>
              <w:keepNext w:val="0"/>
              <w:keepLines w:val="0"/>
              <w:widowControl/>
              <w:suppressLineNumbers w:val="0"/>
              <w:jc w:val="center"/>
              <w:textAlignment w:val="top"/>
              <w:rPr>
                <w:rFonts w:ascii="宋体" w:hAnsi="宋体" w:eastAsia="宋体" w:cs="Times New Roman"/>
                <w:b w:val="0"/>
                <w:bCs/>
                <w:sz w:val="20"/>
                <w:szCs w:val="20"/>
                <w:highlight w:val="yellow"/>
                <w:lang w:val="ru-RU"/>
              </w:rPr>
            </w:pPr>
            <w:r>
              <w:rPr>
                <w:rStyle w:val="27"/>
                <w:lang w:val="en-US" w:eastAsia="zh-CN" w:bidi="ar"/>
              </w:rPr>
              <w:t>动物医学</w:t>
            </w:r>
          </w:p>
        </w:tc>
        <w:tc>
          <w:tcPr>
            <w:tcW w:w="1526" w:type="dxa"/>
            <w:tcBorders>
              <w:top w:val="single" w:color="4BACC6" w:sz="8" w:space="0"/>
              <w:bottom w:val="single" w:color="4BACC6" w:sz="8" w:space="0"/>
              <w:right w:val="single" w:color="4BACC6" w:sz="8" w:space="0"/>
            </w:tcBorders>
            <w:noWrap w:val="0"/>
            <w:vAlign w:val="top"/>
          </w:tcPr>
          <w:p>
            <w:pPr>
              <w:keepNext w:val="0"/>
              <w:keepLines w:val="0"/>
              <w:widowControl/>
              <w:suppressLineNumbers w:val="0"/>
              <w:jc w:val="center"/>
              <w:textAlignment w:val="top"/>
              <w:rPr>
                <w:rFonts w:hint="default" w:ascii="宋体" w:hAnsi="宋体" w:eastAsia="宋体"/>
                <w:sz w:val="20"/>
                <w:szCs w:val="20"/>
                <w:highlight w:val="yellow"/>
                <w:lang w:val="en-US" w:eastAsia="zh-CN"/>
              </w:rPr>
            </w:pPr>
            <w:r>
              <w:rPr>
                <w:rFonts w:hint="eastAsia" w:ascii="宋体" w:hAnsi="宋体" w:eastAsia="宋体" w:cs="宋体"/>
                <w:i w:val="0"/>
                <w:iCs w:val="0"/>
                <w:color w:val="000000"/>
                <w:kern w:val="0"/>
                <w:sz w:val="20"/>
                <w:szCs w:val="20"/>
                <w:u w:val="none"/>
                <w:lang w:val="en-US" w:eastAsia="zh-CN" w:bidi="ar"/>
              </w:rPr>
              <w:t>266</w:t>
            </w:r>
          </w:p>
        </w:tc>
        <w:tc>
          <w:tcPr>
            <w:tcW w:w="1665" w:type="dxa"/>
            <w:tcBorders>
              <w:top w:val="single" w:color="4BACC6" w:sz="8" w:space="0"/>
              <w:bottom w:val="single" w:color="4BACC6" w:sz="8" w:space="0"/>
              <w:right w:val="single" w:color="4BACC6" w:sz="8" w:space="0"/>
            </w:tcBorders>
            <w:noWrap w:val="0"/>
            <w:vAlign w:val="top"/>
          </w:tcPr>
          <w:p>
            <w:pPr>
              <w:keepNext w:val="0"/>
              <w:keepLines w:val="0"/>
              <w:widowControl/>
              <w:suppressLineNumbers w:val="0"/>
              <w:jc w:val="center"/>
              <w:textAlignment w:val="top"/>
              <w:rPr>
                <w:rFonts w:ascii="宋体" w:hAnsi="宋体" w:eastAsia="宋体"/>
                <w:sz w:val="20"/>
                <w:szCs w:val="20"/>
                <w:highlight w:val="none"/>
                <w:lang w:val="ru-RU"/>
              </w:rPr>
            </w:pPr>
            <w:r>
              <w:rPr>
                <w:rFonts w:hint="eastAsia" w:ascii="宋体" w:hAnsi="宋体" w:eastAsia="宋体" w:cs="宋体"/>
                <w:i w:val="0"/>
                <w:iCs w:val="0"/>
                <w:color w:val="000000"/>
                <w:kern w:val="0"/>
                <w:sz w:val="20"/>
                <w:szCs w:val="20"/>
                <w:u w:val="none"/>
                <w:lang w:val="en-US" w:eastAsia="zh-CN" w:bidi="ar"/>
              </w:rPr>
              <w:t>80</w:t>
            </w:r>
          </w:p>
        </w:tc>
        <w:tc>
          <w:tcPr>
            <w:tcW w:w="1576" w:type="dxa"/>
            <w:tcBorders>
              <w:top w:val="single" w:color="4BACC6" w:sz="8" w:space="0"/>
              <w:bottom w:val="single" w:color="4BACC6" w:sz="8" w:space="0"/>
              <w:right w:val="single" w:color="4BACC6" w:sz="8" w:space="0"/>
            </w:tcBorders>
            <w:noWrap w:val="0"/>
            <w:vAlign w:val="top"/>
          </w:tcPr>
          <w:p>
            <w:pPr>
              <w:keepNext w:val="0"/>
              <w:keepLines w:val="0"/>
              <w:widowControl/>
              <w:suppressLineNumbers w:val="0"/>
              <w:jc w:val="center"/>
              <w:textAlignment w:val="top"/>
              <w:rPr>
                <w:rFonts w:ascii="宋体" w:hAnsi="宋体" w:eastAsia="宋体"/>
                <w:sz w:val="20"/>
                <w:szCs w:val="20"/>
                <w:highlight w:val="none"/>
                <w:lang w:val="ru-RU"/>
              </w:rPr>
            </w:pPr>
            <w:r>
              <w:rPr>
                <w:rFonts w:hint="eastAsia" w:ascii="宋体" w:hAnsi="宋体" w:eastAsia="宋体" w:cs="宋体"/>
                <w:i w:val="0"/>
                <w:iCs w:val="0"/>
                <w:color w:val="000000"/>
                <w:kern w:val="0"/>
                <w:sz w:val="20"/>
                <w:szCs w:val="20"/>
                <w:u w:val="none"/>
                <w:lang w:val="en-US" w:eastAsia="zh-CN" w:bidi="ar"/>
              </w:rPr>
              <w:t>90.0%</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352" w:hRule="atLeast"/>
        </w:trPr>
        <w:tc>
          <w:tcPr>
            <w:tcW w:w="3575" w:type="dxa"/>
            <w:tcBorders>
              <w:top w:val="single" w:color="4BACC6" w:sz="8" w:space="0"/>
              <w:left w:val="single" w:color="4BACC6" w:sz="8" w:space="0"/>
              <w:bottom w:val="single" w:color="4BACC6" w:sz="8" w:space="0"/>
              <w:right w:val="single" w:color="4BACC6" w:sz="8" w:space="0"/>
            </w:tcBorders>
            <w:shd w:val="clear" w:color="auto" w:fill="D2EAF0"/>
            <w:noWrap w:val="0"/>
            <w:vAlign w:val="top"/>
          </w:tcPr>
          <w:p>
            <w:pPr>
              <w:keepNext w:val="0"/>
              <w:keepLines w:val="0"/>
              <w:widowControl/>
              <w:suppressLineNumbers w:val="0"/>
              <w:jc w:val="center"/>
              <w:textAlignment w:val="top"/>
              <w:rPr>
                <w:rFonts w:ascii="宋体" w:hAnsi="宋体" w:eastAsia="宋体" w:cs="Times New Roman"/>
                <w:b w:val="0"/>
                <w:bCs/>
                <w:sz w:val="20"/>
                <w:szCs w:val="20"/>
                <w:highlight w:val="yellow"/>
                <w:lang w:val="ru-RU"/>
              </w:rPr>
            </w:pPr>
            <w:r>
              <w:rPr>
                <w:rStyle w:val="27"/>
                <w:lang w:val="en-US" w:eastAsia="zh-CN" w:bidi="ar"/>
              </w:rPr>
              <w:t>药品生产技术</w:t>
            </w:r>
          </w:p>
        </w:tc>
        <w:tc>
          <w:tcPr>
            <w:tcW w:w="1526" w:type="dxa"/>
            <w:tcBorders>
              <w:top w:val="single" w:color="4BACC6" w:sz="8" w:space="0"/>
              <w:bottom w:val="single" w:color="4BACC6" w:sz="8" w:space="0"/>
              <w:right w:val="single" w:color="4BACC6" w:sz="8" w:space="0"/>
            </w:tcBorders>
            <w:shd w:val="clear" w:color="auto" w:fill="D2EAF0"/>
            <w:noWrap w:val="0"/>
            <w:vAlign w:val="top"/>
          </w:tcPr>
          <w:p>
            <w:pPr>
              <w:keepNext w:val="0"/>
              <w:keepLines w:val="0"/>
              <w:widowControl/>
              <w:suppressLineNumbers w:val="0"/>
              <w:jc w:val="center"/>
              <w:textAlignment w:val="top"/>
              <w:rPr>
                <w:rFonts w:hint="default" w:ascii="宋体" w:hAnsi="宋体" w:eastAsia="宋体"/>
                <w:sz w:val="20"/>
                <w:szCs w:val="20"/>
                <w:highlight w:val="yellow"/>
                <w:lang w:val="en-US" w:eastAsia="zh-CN"/>
              </w:rPr>
            </w:pPr>
            <w:r>
              <w:rPr>
                <w:rFonts w:hint="eastAsia" w:ascii="宋体" w:hAnsi="宋体" w:eastAsia="宋体" w:cs="宋体"/>
                <w:i w:val="0"/>
                <w:iCs w:val="0"/>
                <w:color w:val="000000"/>
                <w:kern w:val="0"/>
                <w:sz w:val="20"/>
                <w:szCs w:val="20"/>
                <w:u w:val="none"/>
                <w:lang w:val="en-US" w:eastAsia="zh-CN" w:bidi="ar"/>
              </w:rPr>
              <w:t>81</w:t>
            </w:r>
          </w:p>
        </w:tc>
        <w:tc>
          <w:tcPr>
            <w:tcW w:w="1665" w:type="dxa"/>
            <w:tcBorders>
              <w:top w:val="single" w:color="4BACC6" w:sz="8" w:space="0"/>
              <w:bottom w:val="single" w:color="4BACC6" w:sz="8" w:space="0"/>
              <w:right w:val="single" w:color="4BACC6" w:sz="8" w:space="0"/>
            </w:tcBorders>
            <w:shd w:val="clear" w:color="auto" w:fill="D2EAF0"/>
            <w:noWrap w:val="0"/>
            <w:vAlign w:val="top"/>
          </w:tcPr>
          <w:p>
            <w:pPr>
              <w:keepNext w:val="0"/>
              <w:keepLines w:val="0"/>
              <w:widowControl/>
              <w:suppressLineNumbers w:val="0"/>
              <w:jc w:val="center"/>
              <w:textAlignment w:val="top"/>
              <w:rPr>
                <w:rFonts w:ascii="宋体" w:hAnsi="宋体" w:eastAsia="宋体"/>
                <w:sz w:val="20"/>
                <w:szCs w:val="20"/>
                <w:highlight w:val="none"/>
                <w:lang w:val="ru-RU"/>
              </w:rPr>
            </w:pPr>
            <w:r>
              <w:rPr>
                <w:rFonts w:hint="eastAsia" w:ascii="宋体" w:hAnsi="宋体" w:eastAsia="宋体" w:cs="宋体"/>
                <w:i w:val="0"/>
                <w:iCs w:val="0"/>
                <w:color w:val="000000"/>
                <w:kern w:val="0"/>
                <w:sz w:val="20"/>
                <w:szCs w:val="20"/>
                <w:u w:val="none"/>
                <w:lang w:val="en-US" w:eastAsia="zh-CN" w:bidi="ar"/>
              </w:rPr>
              <w:t>30</w:t>
            </w:r>
          </w:p>
        </w:tc>
        <w:tc>
          <w:tcPr>
            <w:tcW w:w="1576" w:type="dxa"/>
            <w:tcBorders>
              <w:top w:val="single" w:color="4BACC6" w:sz="8" w:space="0"/>
              <w:bottom w:val="single" w:color="4BACC6" w:sz="8" w:space="0"/>
              <w:right w:val="single" w:color="4BACC6" w:sz="8" w:space="0"/>
            </w:tcBorders>
            <w:shd w:val="clear" w:color="auto" w:fill="D2EAF0"/>
            <w:noWrap w:val="0"/>
            <w:vAlign w:val="top"/>
          </w:tcPr>
          <w:p>
            <w:pPr>
              <w:keepNext w:val="0"/>
              <w:keepLines w:val="0"/>
              <w:widowControl/>
              <w:suppressLineNumbers w:val="0"/>
              <w:jc w:val="center"/>
              <w:textAlignment w:val="top"/>
              <w:rPr>
                <w:rFonts w:ascii="宋体" w:hAnsi="宋体" w:eastAsia="宋体"/>
                <w:sz w:val="20"/>
                <w:szCs w:val="20"/>
                <w:highlight w:val="none"/>
                <w:lang w:val="ru-RU"/>
              </w:rPr>
            </w:pPr>
            <w:r>
              <w:rPr>
                <w:rFonts w:hint="eastAsia" w:ascii="宋体" w:hAnsi="宋体" w:eastAsia="宋体" w:cs="宋体"/>
                <w:i w:val="0"/>
                <w:iCs w:val="0"/>
                <w:color w:val="000000"/>
                <w:kern w:val="0"/>
                <w:sz w:val="20"/>
                <w:szCs w:val="20"/>
                <w:u w:val="none"/>
                <w:lang w:val="en-US" w:eastAsia="zh-CN" w:bidi="ar"/>
              </w:rPr>
              <w:t>100.0%</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352" w:hRule="atLeast"/>
        </w:trPr>
        <w:tc>
          <w:tcPr>
            <w:tcW w:w="3575" w:type="dxa"/>
            <w:tcBorders>
              <w:top w:val="single" w:color="4BACC6" w:sz="8" w:space="0"/>
              <w:left w:val="single" w:color="4BACC6" w:sz="8" w:space="0"/>
              <w:bottom w:val="single" w:color="4BACC6" w:sz="8" w:space="0"/>
              <w:right w:val="single" w:color="4BACC6" w:sz="8" w:space="0"/>
            </w:tcBorders>
            <w:noWrap w:val="0"/>
            <w:vAlign w:val="top"/>
          </w:tcPr>
          <w:p>
            <w:pPr>
              <w:keepNext w:val="0"/>
              <w:keepLines w:val="0"/>
              <w:widowControl/>
              <w:suppressLineNumbers w:val="0"/>
              <w:jc w:val="center"/>
              <w:textAlignment w:val="top"/>
              <w:rPr>
                <w:rFonts w:ascii="宋体" w:hAnsi="宋体" w:eastAsia="宋体" w:cs="Times New Roman"/>
                <w:b w:val="0"/>
                <w:bCs/>
                <w:sz w:val="20"/>
                <w:szCs w:val="20"/>
                <w:highlight w:val="yellow"/>
                <w:lang w:val="ru-RU"/>
              </w:rPr>
            </w:pPr>
            <w:r>
              <w:rPr>
                <w:rStyle w:val="27"/>
                <w:lang w:val="en-US" w:eastAsia="zh-CN" w:bidi="ar"/>
              </w:rPr>
              <w:t>宠物临床诊疗技术</w:t>
            </w:r>
          </w:p>
        </w:tc>
        <w:tc>
          <w:tcPr>
            <w:tcW w:w="1526" w:type="dxa"/>
            <w:tcBorders>
              <w:top w:val="single" w:color="4BACC6" w:sz="8" w:space="0"/>
              <w:bottom w:val="single" w:color="4BACC6" w:sz="8" w:space="0"/>
              <w:right w:val="single" w:color="4BACC6" w:sz="8" w:space="0"/>
            </w:tcBorders>
            <w:noWrap w:val="0"/>
            <w:vAlign w:val="top"/>
          </w:tcPr>
          <w:p>
            <w:pPr>
              <w:keepNext w:val="0"/>
              <w:keepLines w:val="0"/>
              <w:widowControl/>
              <w:suppressLineNumbers w:val="0"/>
              <w:jc w:val="center"/>
              <w:textAlignment w:val="top"/>
              <w:rPr>
                <w:rFonts w:hint="default" w:ascii="宋体" w:hAnsi="宋体" w:eastAsia="宋体"/>
                <w:sz w:val="20"/>
                <w:szCs w:val="20"/>
                <w:highlight w:val="yellow"/>
                <w:lang w:val="en-US" w:eastAsia="zh-CN"/>
              </w:rPr>
            </w:pPr>
            <w:r>
              <w:rPr>
                <w:rFonts w:hint="eastAsia" w:ascii="宋体" w:hAnsi="宋体" w:eastAsia="宋体" w:cs="宋体"/>
                <w:i w:val="0"/>
                <w:iCs w:val="0"/>
                <w:color w:val="000000"/>
                <w:kern w:val="0"/>
                <w:sz w:val="20"/>
                <w:szCs w:val="20"/>
                <w:u w:val="none"/>
                <w:lang w:val="en-US" w:eastAsia="zh-CN" w:bidi="ar"/>
              </w:rPr>
              <w:t>38</w:t>
            </w:r>
          </w:p>
        </w:tc>
        <w:tc>
          <w:tcPr>
            <w:tcW w:w="1665" w:type="dxa"/>
            <w:tcBorders>
              <w:top w:val="single" w:color="4BACC6" w:sz="8" w:space="0"/>
              <w:bottom w:val="single" w:color="4BACC6" w:sz="8" w:space="0"/>
              <w:right w:val="single" w:color="4BACC6" w:sz="8" w:space="0"/>
            </w:tcBorders>
            <w:noWrap w:val="0"/>
            <w:vAlign w:val="top"/>
          </w:tcPr>
          <w:p>
            <w:pPr>
              <w:keepNext w:val="0"/>
              <w:keepLines w:val="0"/>
              <w:widowControl/>
              <w:suppressLineNumbers w:val="0"/>
              <w:jc w:val="center"/>
              <w:textAlignment w:val="top"/>
              <w:rPr>
                <w:rFonts w:ascii="宋体" w:hAnsi="宋体" w:eastAsia="宋体"/>
                <w:sz w:val="20"/>
                <w:szCs w:val="20"/>
                <w:highlight w:val="none"/>
                <w:lang w:val="ru-RU"/>
              </w:rPr>
            </w:pPr>
            <w:r>
              <w:rPr>
                <w:rFonts w:hint="eastAsia" w:ascii="宋体" w:hAnsi="宋体" w:eastAsia="宋体" w:cs="宋体"/>
                <w:i w:val="0"/>
                <w:iCs w:val="0"/>
                <w:color w:val="000000"/>
                <w:kern w:val="0"/>
                <w:sz w:val="20"/>
                <w:szCs w:val="20"/>
                <w:u w:val="none"/>
                <w:lang w:val="en-US" w:eastAsia="zh-CN" w:bidi="ar"/>
              </w:rPr>
              <w:t>15</w:t>
            </w:r>
          </w:p>
        </w:tc>
        <w:tc>
          <w:tcPr>
            <w:tcW w:w="1576" w:type="dxa"/>
            <w:tcBorders>
              <w:top w:val="single" w:color="4BACC6" w:sz="8" w:space="0"/>
              <w:bottom w:val="single" w:color="4BACC6" w:sz="8" w:space="0"/>
              <w:right w:val="single" w:color="4BACC6" w:sz="8" w:space="0"/>
            </w:tcBorders>
            <w:noWrap w:val="0"/>
            <w:vAlign w:val="top"/>
          </w:tcPr>
          <w:p>
            <w:pPr>
              <w:keepNext w:val="0"/>
              <w:keepLines w:val="0"/>
              <w:widowControl/>
              <w:suppressLineNumbers w:val="0"/>
              <w:jc w:val="center"/>
              <w:textAlignment w:val="top"/>
              <w:rPr>
                <w:rFonts w:ascii="宋体" w:hAnsi="宋体" w:eastAsia="宋体"/>
                <w:sz w:val="20"/>
                <w:szCs w:val="20"/>
                <w:highlight w:val="none"/>
                <w:lang w:val="ru-RU"/>
              </w:rPr>
            </w:pPr>
            <w:r>
              <w:rPr>
                <w:rFonts w:hint="eastAsia" w:ascii="宋体" w:hAnsi="宋体" w:eastAsia="宋体" w:cs="宋体"/>
                <w:i w:val="0"/>
                <w:iCs w:val="0"/>
                <w:color w:val="000000"/>
                <w:kern w:val="0"/>
                <w:sz w:val="20"/>
                <w:szCs w:val="20"/>
                <w:u w:val="none"/>
                <w:lang w:val="en-US" w:eastAsia="zh-CN" w:bidi="ar"/>
              </w:rPr>
              <w:t>100.0%</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352" w:hRule="atLeast"/>
        </w:trPr>
        <w:tc>
          <w:tcPr>
            <w:tcW w:w="3575" w:type="dxa"/>
            <w:tcBorders>
              <w:top w:val="single" w:color="4BACC6" w:sz="8" w:space="0"/>
              <w:left w:val="single" w:color="4BACC6" w:sz="8" w:space="0"/>
              <w:bottom w:val="single" w:color="4BACC6" w:sz="8" w:space="0"/>
              <w:right w:val="single" w:color="4BACC6" w:sz="8" w:space="0"/>
            </w:tcBorders>
            <w:shd w:val="clear" w:color="auto" w:fill="D2EAF0"/>
            <w:noWrap w:val="0"/>
            <w:vAlign w:val="top"/>
          </w:tcPr>
          <w:p>
            <w:pPr>
              <w:keepNext w:val="0"/>
              <w:keepLines w:val="0"/>
              <w:widowControl/>
              <w:suppressLineNumbers w:val="0"/>
              <w:jc w:val="center"/>
              <w:textAlignment w:val="top"/>
              <w:rPr>
                <w:rFonts w:ascii="宋体" w:hAnsi="宋体" w:eastAsia="宋体" w:cs="Times New Roman"/>
                <w:b w:val="0"/>
                <w:bCs/>
                <w:sz w:val="20"/>
                <w:szCs w:val="20"/>
                <w:highlight w:val="yellow"/>
                <w:lang w:val="ru-RU"/>
              </w:rPr>
            </w:pPr>
            <w:r>
              <w:rPr>
                <w:rStyle w:val="27"/>
                <w:lang w:val="en-US" w:eastAsia="zh-CN" w:bidi="ar"/>
              </w:rPr>
              <w:t>汽车检测与维修技术</w:t>
            </w:r>
          </w:p>
        </w:tc>
        <w:tc>
          <w:tcPr>
            <w:tcW w:w="1526" w:type="dxa"/>
            <w:tcBorders>
              <w:top w:val="single" w:color="4BACC6" w:sz="8" w:space="0"/>
              <w:bottom w:val="single" w:color="4BACC6" w:sz="8" w:space="0"/>
              <w:right w:val="single" w:color="4BACC6" w:sz="8" w:space="0"/>
            </w:tcBorders>
            <w:shd w:val="clear" w:color="auto" w:fill="D2EAF0"/>
            <w:noWrap w:val="0"/>
            <w:vAlign w:val="top"/>
          </w:tcPr>
          <w:p>
            <w:pPr>
              <w:keepNext w:val="0"/>
              <w:keepLines w:val="0"/>
              <w:widowControl/>
              <w:suppressLineNumbers w:val="0"/>
              <w:jc w:val="center"/>
              <w:textAlignment w:val="top"/>
              <w:rPr>
                <w:rFonts w:hint="default" w:ascii="宋体" w:hAnsi="宋体" w:eastAsia="宋体"/>
                <w:sz w:val="20"/>
                <w:szCs w:val="20"/>
                <w:highlight w:val="yellow"/>
                <w:lang w:val="en-US" w:eastAsia="zh-CN"/>
              </w:rPr>
            </w:pPr>
            <w:r>
              <w:rPr>
                <w:rFonts w:hint="eastAsia" w:ascii="宋体" w:hAnsi="宋体" w:eastAsia="宋体" w:cs="宋体"/>
                <w:i w:val="0"/>
                <w:iCs w:val="0"/>
                <w:color w:val="000000"/>
                <w:kern w:val="0"/>
                <w:sz w:val="20"/>
                <w:szCs w:val="20"/>
                <w:u w:val="none"/>
                <w:lang w:val="en-US" w:eastAsia="zh-CN" w:bidi="ar"/>
              </w:rPr>
              <w:t>168</w:t>
            </w:r>
          </w:p>
        </w:tc>
        <w:tc>
          <w:tcPr>
            <w:tcW w:w="1665" w:type="dxa"/>
            <w:tcBorders>
              <w:top w:val="single" w:color="4BACC6" w:sz="8" w:space="0"/>
              <w:bottom w:val="single" w:color="4BACC6" w:sz="8" w:space="0"/>
              <w:right w:val="single" w:color="4BACC6" w:sz="8" w:space="0"/>
            </w:tcBorders>
            <w:shd w:val="clear" w:color="auto" w:fill="D2EAF0"/>
            <w:noWrap w:val="0"/>
            <w:vAlign w:val="top"/>
          </w:tcPr>
          <w:p>
            <w:pPr>
              <w:keepNext w:val="0"/>
              <w:keepLines w:val="0"/>
              <w:widowControl/>
              <w:suppressLineNumbers w:val="0"/>
              <w:jc w:val="center"/>
              <w:textAlignment w:val="top"/>
              <w:rPr>
                <w:rFonts w:ascii="宋体" w:hAnsi="宋体" w:eastAsia="宋体"/>
                <w:sz w:val="20"/>
                <w:szCs w:val="20"/>
                <w:highlight w:val="none"/>
                <w:lang w:val="ru-RU"/>
              </w:rPr>
            </w:pPr>
            <w:r>
              <w:rPr>
                <w:rFonts w:hint="eastAsia" w:ascii="宋体" w:hAnsi="宋体" w:eastAsia="宋体" w:cs="宋体"/>
                <w:i w:val="0"/>
                <w:iCs w:val="0"/>
                <w:color w:val="000000"/>
                <w:kern w:val="0"/>
                <w:sz w:val="20"/>
                <w:szCs w:val="20"/>
                <w:u w:val="none"/>
                <w:lang w:val="en-US" w:eastAsia="zh-CN" w:bidi="ar"/>
              </w:rPr>
              <w:t>50</w:t>
            </w:r>
          </w:p>
        </w:tc>
        <w:tc>
          <w:tcPr>
            <w:tcW w:w="1576" w:type="dxa"/>
            <w:tcBorders>
              <w:top w:val="single" w:color="4BACC6" w:sz="8" w:space="0"/>
              <w:bottom w:val="single" w:color="4BACC6" w:sz="8" w:space="0"/>
              <w:right w:val="single" w:color="4BACC6" w:sz="8" w:space="0"/>
            </w:tcBorders>
            <w:shd w:val="clear" w:color="auto" w:fill="D2EAF0"/>
            <w:noWrap w:val="0"/>
            <w:vAlign w:val="top"/>
          </w:tcPr>
          <w:p>
            <w:pPr>
              <w:keepNext w:val="0"/>
              <w:keepLines w:val="0"/>
              <w:widowControl/>
              <w:suppressLineNumbers w:val="0"/>
              <w:jc w:val="center"/>
              <w:textAlignment w:val="top"/>
              <w:rPr>
                <w:rFonts w:ascii="宋体" w:hAnsi="宋体" w:eastAsia="宋体"/>
                <w:sz w:val="20"/>
                <w:szCs w:val="20"/>
                <w:highlight w:val="none"/>
                <w:lang w:val="ru-RU"/>
              </w:rPr>
            </w:pPr>
            <w:r>
              <w:rPr>
                <w:rFonts w:hint="eastAsia" w:ascii="宋体" w:hAnsi="宋体" w:eastAsia="宋体" w:cs="宋体"/>
                <w:i w:val="0"/>
                <w:iCs w:val="0"/>
                <w:color w:val="000000"/>
                <w:kern w:val="0"/>
                <w:sz w:val="20"/>
                <w:szCs w:val="20"/>
                <w:u w:val="none"/>
                <w:lang w:val="en-US" w:eastAsia="zh-CN" w:bidi="ar"/>
              </w:rPr>
              <w:t>92.0%</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361" w:hRule="atLeast"/>
        </w:trPr>
        <w:tc>
          <w:tcPr>
            <w:tcW w:w="3575" w:type="dxa"/>
            <w:tcBorders>
              <w:top w:val="single" w:color="4BACC6" w:sz="8" w:space="0"/>
              <w:left w:val="single" w:color="4BACC6" w:sz="8" w:space="0"/>
              <w:bottom w:val="single" w:color="4BACC6" w:sz="8" w:space="0"/>
              <w:right w:val="single" w:color="4BACC6" w:sz="8" w:space="0"/>
            </w:tcBorders>
            <w:noWrap w:val="0"/>
            <w:vAlign w:val="top"/>
          </w:tcPr>
          <w:p>
            <w:pPr>
              <w:keepNext w:val="0"/>
              <w:keepLines w:val="0"/>
              <w:widowControl/>
              <w:suppressLineNumbers w:val="0"/>
              <w:jc w:val="center"/>
              <w:textAlignment w:val="top"/>
              <w:rPr>
                <w:rFonts w:hint="default" w:ascii="宋体" w:hAnsi="宋体" w:eastAsia="宋体" w:cs="Times New Roman"/>
                <w:b w:val="0"/>
                <w:bCs/>
                <w:sz w:val="20"/>
                <w:szCs w:val="20"/>
                <w:highlight w:val="yellow"/>
                <w:lang w:val="en-US" w:eastAsia="zh-CN"/>
              </w:rPr>
            </w:pPr>
            <w:r>
              <w:rPr>
                <w:rStyle w:val="27"/>
                <w:lang w:val="en-US" w:eastAsia="zh-CN" w:bidi="ar"/>
              </w:rPr>
              <w:t>工业机器人技术</w:t>
            </w:r>
          </w:p>
        </w:tc>
        <w:tc>
          <w:tcPr>
            <w:tcW w:w="1526" w:type="dxa"/>
            <w:tcBorders>
              <w:top w:val="single" w:color="4BACC6" w:sz="8" w:space="0"/>
              <w:bottom w:val="single" w:color="4BACC6" w:sz="8" w:space="0"/>
              <w:right w:val="single" w:color="4BACC6" w:sz="8" w:space="0"/>
            </w:tcBorders>
            <w:noWrap w:val="0"/>
            <w:vAlign w:val="top"/>
          </w:tcPr>
          <w:p>
            <w:pPr>
              <w:keepNext w:val="0"/>
              <w:keepLines w:val="0"/>
              <w:widowControl/>
              <w:suppressLineNumbers w:val="0"/>
              <w:jc w:val="center"/>
              <w:textAlignment w:val="top"/>
              <w:rPr>
                <w:rFonts w:hint="default" w:ascii="宋体" w:hAnsi="宋体" w:eastAsia="宋体"/>
                <w:sz w:val="20"/>
                <w:szCs w:val="20"/>
                <w:highlight w:val="yellow"/>
                <w:lang w:val="en-US" w:eastAsia="zh-CN"/>
              </w:rPr>
            </w:pPr>
            <w:r>
              <w:rPr>
                <w:rFonts w:hint="eastAsia" w:ascii="宋体" w:hAnsi="宋体" w:eastAsia="宋体" w:cs="宋体"/>
                <w:i w:val="0"/>
                <w:iCs w:val="0"/>
                <w:color w:val="000000"/>
                <w:kern w:val="0"/>
                <w:sz w:val="20"/>
                <w:szCs w:val="20"/>
                <w:u w:val="none"/>
                <w:lang w:val="en-US" w:eastAsia="zh-CN" w:bidi="ar"/>
              </w:rPr>
              <w:t>188</w:t>
            </w:r>
          </w:p>
        </w:tc>
        <w:tc>
          <w:tcPr>
            <w:tcW w:w="1665" w:type="dxa"/>
            <w:tcBorders>
              <w:top w:val="single" w:color="4BACC6" w:sz="8" w:space="0"/>
              <w:bottom w:val="single" w:color="4BACC6" w:sz="8" w:space="0"/>
              <w:right w:val="single" w:color="4BACC6" w:sz="8" w:space="0"/>
            </w:tcBorders>
            <w:noWrap w:val="0"/>
            <w:vAlign w:val="top"/>
          </w:tcPr>
          <w:p>
            <w:pPr>
              <w:keepNext w:val="0"/>
              <w:keepLines w:val="0"/>
              <w:widowControl/>
              <w:suppressLineNumbers w:val="0"/>
              <w:jc w:val="center"/>
              <w:textAlignment w:val="top"/>
              <w:rPr>
                <w:rFonts w:hint="default" w:ascii="宋体" w:hAnsi="宋体" w:eastAsia="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50</w:t>
            </w:r>
          </w:p>
        </w:tc>
        <w:tc>
          <w:tcPr>
            <w:tcW w:w="1576" w:type="dxa"/>
            <w:tcBorders>
              <w:top w:val="single" w:color="4BACC6" w:sz="8" w:space="0"/>
              <w:bottom w:val="single" w:color="4BACC6" w:sz="8" w:space="0"/>
              <w:right w:val="single" w:color="4BACC6" w:sz="8" w:space="0"/>
            </w:tcBorders>
            <w:noWrap w:val="0"/>
            <w:vAlign w:val="top"/>
          </w:tcPr>
          <w:p>
            <w:pPr>
              <w:keepNext w:val="0"/>
              <w:keepLines w:val="0"/>
              <w:widowControl/>
              <w:suppressLineNumbers w:val="0"/>
              <w:jc w:val="center"/>
              <w:textAlignment w:val="top"/>
              <w:rPr>
                <w:rFonts w:hint="default" w:ascii="宋体" w:hAnsi="宋体" w:eastAsia="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90.0%</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335" w:hRule="atLeast"/>
        </w:trPr>
        <w:tc>
          <w:tcPr>
            <w:tcW w:w="3575" w:type="dxa"/>
            <w:tcBorders>
              <w:top w:val="single" w:color="4BACC6" w:sz="8" w:space="0"/>
              <w:left w:val="single" w:color="4BACC6" w:sz="8" w:space="0"/>
              <w:bottom w:val="single" w:color="4BACC6" w:sz="8" w:space="0"/>
              <w:right w:val="single" w:color="4BACC6" w:sz="8" w:space="0"/>
            </w:tcBorders>
            <w:shd w:val="clear" w:color="auto" w:fill="D2EAF0"/>
            <w:noWrap w:val="0"/>
            <w:vAlign w:val="top"/>
          </w:tcPr>
          <w:p>
            <w:pPr>
              <w:keepNext w:val="0"/>
              <w:keepLines w:val="0"/>
              <w:widowControl/>
              <w:suppressLineNumbers w:val="0"/>
              <w:jc w:val="center"/>
              <w:textAlignment w:val="top"/>
              <w:rPr>
                <w:rFonts w:ascii="宋体" w:hAnsi="宋体" w:eastAsia="宋体" w:cs="Times New Roman"/>
                <w:b w:val="0"/>
                <w:bCs/>
                <w:kern w:val="2"/>
                <w:sz w:val="20"/>
                <w:szCs w:val="20"/>
                <w:highlight w:val="yellow"/>
                <w:lang w:val="ru-RU" w:eastAsia="zh-CN" w:bidi="ar-SA"/>
              </w:rPr>
            </w:pPr>
            <w:r>
              <w:rPr>
                <w:rStyle w:val="27"/>
                <w:lang w:val="en-US" w:eastAsia="zh-CN" w:bidi="ar"/>
              </w:rPr>
              <w:t>建筑工程技术</w:t>
            </w:r>
          </w:p>
        </w:tc>
        <w:tc>
          <w:tcPr>
            <w:tcW w:w="1526" w:type="dxa"/>
            <w:tcBorders>
              <w:top w:val="single" w:color="4BACC6" w:sz="8" w:space="0"/>
              <w:bottom w:val="single" w:color="4BACC6" w:sz="8" w:space="0"/>
              <w:right w:val="single" w:color="4BACC6" w:sz="8" w:space="0"/>
            </w:tcBorders>
            <w:shd w:val="clear" w:color="auto" w:fill="D2EAF0"/>
            <w:noWrap w:val="0"/>
            <w:vAlign w:val="top"/>
          </w:tcPr>
          <w:p>
            <w:pPr>
              <w:keepNext w:val="0"/>
              <w:keepLines w:val="0"/>
              <w:widowControl/>
              <w:suppressLineNumbers w:val="0"/>
              <w:jc w:val="center"/>
              <w:textAlignment w:val="top"/>
              <w:rPr>
                <w:rFonts w:hint="default" w:ascii="宋体" w:hAnsi="宋体" w:eastAsia="宋体" w:cs="Times New Roman"/>
                <w:kern w:val="2"/>
                <w:sz w:val="20"/>
                <w:szCs w:val="20"/>
                <w:highlight w:val="yellow"/>
                <w:lang w:val="en-US" w:eastAsia="zh-CN" w:bidi="ar-SA"/>
              </w:rPr>
            </w:pPr>
            <w:r>
              <w:rPr>
                <w:rFonts w:hint="eastAsia" w:ascii="宋体" w:hAnsi="宋体" w:eastAsia="宋体" w:cs="宋体"/>
                <w:i w:val="0"/>
                <w:iCs w:val="0"/>
                <w:color w:val="000000"/>
                <w:kern w:val="0"/>
                <w:sz w:val="20"/>
                <w:szCs w:val="20"/>
                <w:u w:val="none"/>
                <w:lang w:val="en-US" w:eastAsia="zh-CN" w:bidi="ar"/>
              </w:rPr>
              <w:t>496</w:t>
            </w:r>
          </w:p>
        </w:tc>
        <w:tc>
          <w:tcPr>
            <w:tcW w:w="1665" w:type="dxa"/>
            <w:tcBorders>
              <w:top w:val="single" w:color="4BACC6" w:sz="8" w:space="0"/>
              <w:bottom w:val="single" w:color="4BACC6" w:sz="8" w:space="0"/>
              <w:right w:val="single" w:color="4BACC6" w:sz="8" w:space="0"/>
            </w:tcBorders>
            <w:shd w:val="clear" w:color="auto" w:fill="D2EAF0"/>
            <w:noWrap w:val="0"/>
            <w:vAlign w:val="top"/>
          </w:tcPr>
          <w:p>
            <w:pPr>
              <w:keepNext w:val="0"/>
              <w:keepLines w:val="0"/>
              <w:widowControl/>
              <w:suppressLineNumbers w:val="0"/>
              <w:jc w:val="center"/>
              <w:textAlignment w:val="top"/>
              <w:rPr>
                <w:rFonts w:hint="default" w:ascii="宋体" w:hAnsi="宋体" w:eastAsia="宋体" w:cs="Times New Roman"/>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100</w:t>
            </w:r>
          </w:p>
        </w:tc>
        <w:tc>
          <w:tcPr>
            <w:tcW w:w="1576" w:type="dxa"/>
            <w:tcBorders>
              <w:top w:val="single" w:color="4BACC6" w:sz="8" w:space="0"/>
              <w:bottom w:val="single" w:color="4BACC6" w:sz="8" w:space="0"/>
              <w:right w:val="single" w:color="4BACC6" w:sz="8" w:space="0"/>
            </w:tcBorders>
            <w:shd w:val="clear" w:color="auto" w:fill="D2EAF0"/>
            <w:noWrap w:val="0"/>
            <w:vAlign w:val="top"/>
          </w:tcPr>
          <w:p>
            <w:pPr>
              <w:keepNext w:val="0"/>
              <w:keepLines w:val="0"/>
              <w:widowControl/>
              <w:suppressLineNumbers w:val="0"/>
              <w:jc w:val="center"/>
              <w:textAlignment w:val="top"/>
              <w:rPr>
                <w:rFonts w:ascii="宋体" w:hAnsi="宋体" w:eastAsia="宋体" w:cs="Times New Roman"/>
                <w:kern w:val="2"/>
                <w:sz w:val="20"/>
                <w:szCs w:val="20"/>
                <w:highlight w:val="none"/>
                <w:lang w:val="ru-RU" w:eastAsia="zh-CN" w:bidi="ar-SA"/>
              </w:rPr>
            </w:pPr>
            <w:r>
              <w:rPr>
                <w:rFonts w:hint="eastAsia" w:ascii="宋体" w:hAnsi="宋体" w:eastAsia="宋体" w:cs="宋体"/>
                <w:i w:val="0"/>
                <w:iCs w:val="0"/>
                <w:color w:val="000000"/>
                <w:kern w:val="0"/>
                <w:sz w:val="20"/>
                <w:szCs w:val="20"/>
                <w:u w:val="none"/>
                <w:lang w:val="en-US" w:eastAsia="zh-CN" w:bidi="ar"/>
              </w:rPr>
              <w:t>91.0%</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335" w:hRule="atLeast"/>
        </w:trPr>
        <w:tc>
          <w:tcPr>
            <w:tcW w:w="3575" w:type="dxa"/>
            <w:tcBorders>
              <w:top w:val="single" w:color="4BACC6" w:sz="8" w:space="0"/>
              <w:left w:val="single" w:color="4BACC6" w:sz="8" w:space="0"/>
              <w:bottom w:val="single" w:color="4BACC6" w:sz="8" w:space="0"/>
              <w:right w:val="single" w:color="4BACC6" w:sz="8" w:space="0"/>
            </w:tcBorders>
            <w:noWrap w:val="0"/>
            <w:vAlign w:val="top"/>
          </w:tcPr>
          <w:p>
            <w:pPr>
              <w:keepNext w:val="0"/>
              <w:keepLines w:val="0"/>
              <w:widowControl/>
              <w:suppressLineNumbers w:val="0"/>
              <w:jc w:val="center"/>
              <w:textAlignment w:val="top"/>
              <w:rPr>
                <w:rFonts w:ascii="宋体" w:hAnsi="宋体" w:eastAsia="宋体" w:cs="Times New Roman"/>
                <w:b w:val="0"/>
                <w:bCs/>
                <w:kern w:val="2"/>
                <w:sz w:val="20"/>
                <w:szCs w:val="20"/>
                <w:highlight w:val="yellow"/>
                <w:lang w:val="ru-RU" w:eastAsia="zh-CN" w:bidi="ar-SA"/>
              </w:rPr>
            </w:pPr>
            <w:r>
              <w:rPr>
                <w:rStyle w:val="27"/>
                <w:lang w:val="en-US" w:eastAsia="zh-CN" w:bidi="ar"/>
              </w:rPr>
              <w:t>工程造价</w:t>
            </w:r>
          </w:p>
        </w:tc>
        <w:tc>
          <w:tcPr>
            <w:tcW w:w="1526" w:type="dxa"/>
            <w:tcBorders>
              <w:top w:val="single" w:color="4BACC6" w:sz="8" w:space="0"/>
              <w:bottom w:val="single" w:color="4BACC6" w:sz="8" w:space="0"/>
              <w:right w:val="single" w:color="4BACC6" w:sz="8" w:space="0"/>
            </w:tcBorders>
            <w:noWrap w:val="0"/>
            <w:vAlign w:val="top"/>
          </w:tcPr>
          <w:p>
            <w:pPr>
              <w:keepNext w:val="0"/>
              <w:keepLines w:val="0"/>
              <w:widowControl/>
              <w:suppressLineNumbers w:val="0"/>
              <w:jc w:val="center"/>
              <w:textAlignment w:val="top"/>
              <w:rPr>
                <w:rFonts w:hint="default" w:ascii="宋体" w:hAnsi="宋体" w:eastAsia="宋体" w:cs="Times New Roman"/>
                <w:kern w:val="2"/>
                <w:sz w:val="20"/>
                <w:szCs w:val="20"/>
                <w:highlight w:val="yellow"/>
                <w:lang w:val="en-US" w:eastAsia="zh-CN" w:bidi="ar-SA"/>
              </w:rPr>
            </w:pPr>
            <w:r>
              <w:rPr>
                <w:rFonts w:hint="eastAsia" w:ascii="宋体" w:hAnsi="宋体" w:eastAsia="宋体" w:cs="宋体"/>
                <w:i w:val="0"/>
                <w:iCs w:val="0"/>
                <w:color w:val="000000"/>
                <w:kern w:val="0"/>
                <w:sz w:val="20"/>
                <w:szCs w:val="20"/>
                <w:u w:val="none"/>
                <w:lang w:val="en-US" w:eastAsia="zh-CN" w:bidi="ar"/>
              </w:rPr>
              <w:t>79</w:t>
            </w:r>
          </w:p>
        </w:tc>
        <w:tc>
          <w:tcPr>
            <w:tcW w:w="1665" w:type="dxa"/>
            <w:tcBorders>
              <w:top w:val="single" w:color="4BACC6" w:sz="8" w:space="0"/>
              <w:bottom w:val="single" w:color="4BACC6" w:sz="8" w:space="0"/>
              <w:right w:val="single" w:color="4BACC6" w:sz="8" w:space="0"/>
            </w:tcBorders>
            <w:noWrap w:val="0"/>
            <w:vAlign w:val="top"/>
          </w:tcPr>
          <w:p>
            <w:pPr>
              <w:keepNext w:val="0"/>
              <w:keepLines w:val="0"/>
              <w:widowControl/>
              <w:suppressLineNumbers w:val="0"/>
              <w:jc w:val="center"/>
              <w:textAlignment w:val="top"/>
              <w:rPr>
                <w:rFonts w:hint="default" w:ascii="宋体" w:hAnsi="宋体" w:eastAsia="宋体" w:cs="Times New Roman"/>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30</w:t>
            </w:r>
          </w:p>
        </w:tc>
        <w:tc>
          <w:tcPr>
            <w:tcW w:w="1576" w:type="dxa"/>
            <w:tcBorders>
              <w:top w:val="single" w:color="4BACC6" w:sz="8" w:space="0"/>
              <w:bottom w:val="single" w:color="4BACC6" w:sz="8" w:space="0"/>
              <w:right w:val="single" w:color="4BACC6" w:sz="8" w:space="0"/>
            </w:tcBorders>
            <w:noWrap w:val="0"/>
            <w:vAlign w:val="top"/>
          </w:tcPr>
          <w:p>
            <w:pPr>
              <w:keepNext w:val="0"/>
              <w:keepLines w:val="0"/>
              <w:widowControl/>
              <w:suppressLineNumbers w:val="0"/>
              <w:jc w:val="center"/>
              <w:textAlignment w:val="top"/>
              <w:rPr>
                <w:rFonts w:ascii="宋体" w:hAnsi="宋体" w:eastAsia="宋体" w:cs="Times New Roman"/>
                <w:kern w:val="2"/>
                <w:sz w:val="20"/>
                <w:szCs w:val="20"/>
                <w:highlight w:val="none"/>
                <w:lang w:val="ru-RU" w:eastAsia="zh-CN" w:bidi="ar-SA"/>
              </w:rPr>
            </w:pPr>
            <w:r>
              <w:rPr>
                <w:rFonts w:hint="eastAsia" w:ascii="宋体" w:hAnsi="宋体" w:eastAsia="宋体" w:cs="宋体"/>
                <w:i w:val="0"/>
                <w:iCs w:val="0"/>
                <w:color w:val="000000"/>
                <w:kern w:val="0"/>
                <w:sz w:val="20"/>
                <w:szCs w:val="20"/>
                <w:u w:val="none"/>
                <w:lang w:val="en-US" w:eastAsia="zh-CN" w:bidi="ar"/>
              </w:rPr>
              <w:t>100.0%</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335" w:hRule="atLeast"/>
        </w:trPr>
        <w:tc>
          <w:tcPr>
            <w:tcW w:w="3575" w:type="dxa"/>
            <w:tcBorders>
              <w:top w:val="single" w:color="4BACC6" w:sz="8" w:space="0"/>
              <w:left w:val="single" w:color="4BACC6" w:sz="8" w:space="0"/>
              <w:bottom w:val="single" w:color="4BACC6" w:sz="8" w:space="0"/>
              <w:right w:val="single" w:color="4BACC6" w:sz="8" w:space="0"/>
            </w:tcBorders>
            <w:shd w:val="clear" w:color="auto" w:fill="D2EAF0"/>
            <w:noWrap w:val="0"/>
            <w:vAlign w:val="top"/>
          </w:tcPr>
          <w:p>
            <w:pPr>
              <w:keepNext w:val="0"/>
              <w:keepLines w:val="0"/>
              <w:widowControl/>
              <w:suppressLineNumbers w:val="0"/>
              <w:jc w:val="center"/>
              <w:textAlignment w:val="top"/>
              <w:rPr>
                <w:rFonts w:ascii="宋体" w:hAnsi="宋体" w:eastAsia="宋体" w:cs="Times New Roman"/>
                <w:b w:val="0"/>
                <w:bCs/>
                <w:kern w:val="2"/>
                <w:sz w:val="20"/>
                <w:szCs w:val="20"/>
                <w:highlight w:val="yellow"/>
                <w:lang w:val="ru-RU" w:eastAsia="zh-CN" w:bidi="ar-SA"/>
              </w:rPr>
            </w:pPr>
            <w:r>
              <w:rPr>
                <w:rStyle w:val="27"/>
                <w:lang w:val="en-US" w:eastAsia="zh-CN" w:bidi="ar"/>
              </w:rPr>
              <w:t>建筑装饰工程技术</w:t>
            </w:r>
          </w:p>
        </w:tc>
        <w:tc>
          <w:tcPr>
            <w:tcW w:w="1526" w:type="dxa"/>
            <w:tcBorders>
              <w:top w:val="single" w:color="4BACC6" w:sz="8" w:space="0"/>
              <w:bottom w:val="single" w:color="4BACC6" w:sz="8" w:space="0"/>
              <w:right w:val="single" w:color="4BACC6" w:sz="8" w:space="0"/>
            </w:tcBorders>
            <w:shd w:val="clear" w:color="auto" w:fill="D2EAF0"/>
            <w:noWrap w:val="0"/>
            <w:vAlign w:val="top"/>
          </w:tcPr>
          <w:p>
            <w:pPr>
              <w:keepNext w:val="0"/>
              <w:keepLines w:val="0"/>
              <w:widowControl/>
              <w:suppressLineNumbers w:val="0"/>
              <w:jc w:val="center"/>
              <w:textAlignment w:val="top"/>
              <w:rPr>
                <w:rFonts w:hint="default" w:ascii="宋体" w:hAnsi="宋体" w:eastAsia="宋体" w:cs="Times New Roman"/>
                <w:kern w:val="2"/>
                <w:sz w:val="20"/>
                <w:szCs w:val="20"/>
                <w:highlight w:val="yellow"/>
                <w:lang w:val="en-US" w:eastAsia="zh-CN" w:bidi="ar-SA"/>
              </w:rPr>
            </w:pPr>
            <w:r>
              <w:rPr>
                <w:rFonts w:hint="eastAsia" w:ascii="宋体" w:hAnsi="宋体" w:eastAsia="宋体" w:cs="宋体"/>
                <w:i w:val="0"/>
                <w:iCs w:val="0"/>
                <w:color w:val="000000"/>
                <w:kern w:val="0"/>
                <w:sz w:val="20"/>
                <w:szCs w:val="20"/>
                <w:u w:val="none"/>
                <w:lang w:val="en-US" w:eastAsia="zh-CN" w:bidi="ar"/>
              </w:rPr>
              <w:t>143</w:t>
            </w:r>
          </w:p>
        </w:tc>
        <w:tc>
          <w:tcPr>
            <w:tcW w:w="1665" w:type="dxa"/>
            <w:tcBorders>
              <w:top w:val="single" w:color="4BACC6" w:sz="8" w:space="0"/>
              <w:bottom w:val="single" w:color="4BACC6" w:sz="8" w:space="0"/>
              <w:right w:val="single" w:color="4BACC6" w:sz="8" w:space="0"/>
            </w:tcBorders>
            <w:shd w:val="clear" w:color="auto" w:fill="D2EAF0"/>
            <w:noWrap w:val="0"/>
            <w:vAlign w:val="top"/>
          </w:tcPr>
          <w:p>
            <w:pPr>
              <w:keepNext w:val="0"/>
              <w:keepLines w:val="0"/>
              <w:widowControl/>
              <w:suppressLineNumbers w:val="0"/>
              <w:jc w:val="center"/>
              <w:textAlignment w:val="top"/>
              <w:rPr>
                <w:rFonts w:hint="default" w:ascii="宋体" w:hAnsi="宋体" w:eastAsia="宋体" w:cs="Times New Roman"/>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50</w:t>
            </w:r>
          </w:p>
        </w:tc>
        <w:tc>
          <w:tcPr>
            <w:tcW w:w="1576" w:type="dxa"/>
            <w:tcBorders>
              <w:top w:val="single" w:color="4BACC6" w:sz="8" w:space="0"/>
              <w:bottom w:val="single" w:color="4BACC6" w:sz="8" w:space="0"/>
              <w:right w:val="single" w:color="4BACC6" w:sz="8" w:space="0"/>
            </w:tcBorders>
            <w:shd w:val="clear" w:color="auto" w:fill="D2EAF0"/>
            <w:noWrap w:val="0"/>
            <w:vAlign w:val="top"/>
          </w:tcPr>
          <w:p>
            <w:pPr>
              <w:keepNext w:val="0"/>
              <w:keepLines w:val="0"/>
              <w:widowControl/>
              <w:suppressLineNumbers w:val="0"/>
              <w:jc w:val="center"/>
              <w:textAlignment w:val="top"/>
              <w:rPr>
                <w:rFonts w:ascii="宋体" w:hAnsi="宋体" w:eastAsia="宋体" w:cs="Times New Roman"/>
                <w:kern w:val="2"/>
                <w:sz w:val="20"/>
                <w:szCs w:val="20"/>
                <w:highlight w:val="none"/>
                <w:lang w:val="ru-RU" w:eastAsia="zh-CN" w:bidi="ar-SA"/>
              </w:rPr>
            </w:pPr>
            <w:r>
              <w:rPr>
                <w:rFonts w:hint="eastAsia" w:ascii="宋体" w:hAnsi="宋体" w:eastAsia="宋体" w:cs="宋体"/>
                <w:i w:val="0"/>
                <w:iCs w:val="0"/>
                <w:color w:val="000000"/>
                <w:kern w:val="0"/>
                <w:sz w:val="20"/>
                <w:szCs w:val="20"/>
                <w:u w:val="none"/>
                <w:lang w:val="en-US" w:eastAsia="zh-CN" w:bidi="ar"/>
              </w:rPr>
              <w:t>96.0%</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335" w:hRule="atLeast"/>
        </w:trPr>
        <w:tc>
          <w:tcPr>
            <w:tcW w:w="3575" w:type="dxa"/>
            <w:tcBorders>
              <w:top w:val="single" w:color="4BACC6" w:sz="8" w:space="0"/>
              <w:left w:val="single" w:color="4BACC6" w:sz="8" w:space="0"/>
              <w:bottom w:val="single" w:color="4BACC6" w:sz="8" w:space="0"/>
              <w:right w:val="single" w:color="4BACC6" w:sz="8" w:space="0"/>
            </w:tcBorders>
            <w:shd w:val="clear" w:color="auto" w:fill="auto"/>
            <w:noWrap w:val="0"/>
            <w:vAlign w:val="top"/>
          </w:tcPr>
          <w:p>
            <w:pPr>
              <w:keepNext w:val="0"/>
              <w:keepLines w:val="0"/>
              <w:widowControl/>
              <w:suppressLineNumbers w:val="0"/>
              <w:jc w:val="center"/>
              <w:textAlignment w:val="top"/>
              <w:rPr>
                <w:rFonts w:hint="default" w:ascii="宋体" w:hAnsi="宋体" w:eastAsia="宋体" w:cs="Times New Roman"/>
                <w:b w:val="0"/>
                <w:bCs/>
                <w:kern w:val="2"/>
                <w:sz w:val="20"/>
                <w:szCs w:val="20"/>
                <w:highlight w:val="yellow"/>
                <w:lang w:val="en-US" w:eastAsia="zh-CN" w:bidi="ar-SA"/>
              </w:rPr>
            </w:pPr>
            <w:r>
              <w:rPr>
                <w:rStyle w:val="27"/>
                <w:lang w:val="en-US" w:eastAsia="zh-CN" w:bidi="ar"/>
              </w:rPr>
              <w:t>计算机应用技术</w:t>
            </w:r>
          </w:p>
        </w:tc>
        <w:tc>
          <w:tcPr>
            <w:tcW w:w="1526" w:type="dxa"/>
            <w:tcBorders>
              <w:top w:val="single" w:color="4BACC6" w:sz="8" w:space="0"/>
              <w:bottom w:val="single" w:color="4BACC6" w:sz="8" w:space="0"/>
              <w:right w:val="single" w:color="4BACC6" w:sz="8" w:space="0"/>
            </w:tcBorders>
            <w:shd w:val="clear" w:color="auto" w:fill="auto"/>
            <w:noWrap w:val="0"/>
            <w:vAlign w:val="top"/>
          </w:tcPr>
          <w:p>
            <w:pPr>
              <w:keepNext w:val="0"/>
              <w:keepLines w:val="0"/>
              <w:widowControl/>
              <w:suppressLineNumbers w:val="0"/>
              <w:jc w:val="center"/>
              <w:textAlignment w:val="top"/>
              <w:rPr>
                <w:rFonts w:hint="default" w:ascii="宋体" w:hAnsi="宋体" w:eastAsia="宋体" w:cs="Times New Roman"/>
                <w:kern w:val="2"/>
                <w:sz w:val="20"/>
                <w:szCs w:val="20"/>
                <w:highlight w:val="yellow"/>
                <w:lang w:val="en-US" w:eastAsia="zh-CN" w:bidi="ar-SA"/>
              </w:rPr>
            </w:pPr>
            <w:r>
              <w:rPr>
                <w:rFonts w:hint="eastAsia" w:ascii="宋体" w:hAnsi="宋体" w:eastAsia="宋体" w:cs="宋体"/>
                <w:i w:val="0"/>
                <w:iCs w:val="0"/>
                <w:color w:val="000000"/>
                <w:kern w:val="0"/>
                <w:sz w:val="20"/>
                <w:szCs w:val="20"/>
                <w:u w:val="none"/>
                <w:lang w:val="en-US" w:eastAsia="zh-CN" w:bidi="ar"/>
              </w:rPr>
              <w:t>477</w:t>
            </w:r>
          </w:p>
        </w:tc>
        <w:tc>
          <w:tcPr>
            <w:tcW w:w="1665" w:type="dxa"/>
            <w:tcBorders>
              <w:top w:val="single" w:color="4BACC6" w:sz="8" w:space="0"/>
              <w:bottom w:val="single" w:color="4BACC6" w:sz="8" w:space="0"/>
              <w:right w:val="single" w:color="4BACC6" w:sz="8" w:space="0"/>
            </w:tcBorders>
            <w:shd w:val="clear" w:color="auto" w:fill="auto"/>
            <w:noWrap w:val="0"/>
            <w:vAlign w:val="top"/>
          </w:tcPr>
          <w:p>
            <w:pPr>
              <w:keepNext w:val="0"/>
              <w:keepLines w:val="0"/>
              <w:widowControl/>
              <w:suppressLineNumbers w:val="0"/>
              <w:jc w:val="center"/>
              <w:textAlignment w:val="top"/>
              <w:rPr>
                <w:rFonts w:hint="eastAsia" w:ascii="宋体" w:hAnsi="宋体" w:eastAsia="宋体" w:cs="Times New Roman"/>
                <w:kern w:val="2"/>
                <w:sz w:val="20"/>
                <w:szCs w:val="20"/>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100</w:t>
            </w:r>
          </w:p>
        </w:tc>
        <w:tc>
          <w:tcPr>
            <w:tcW w:w="1576" w:type="dxa"/>
            <w:tcBorders>
              <w:top w:val="single" w:color="4BACC6" w:sz="8" w:space="0"/>
              <w:bottom w:val="single" w:color="4BACC6" w:sz="8" w:space="0"/>
              <w:right w:val="single" w:color="4BACC6" w:sz="8" w:space="0"/>
            </w:tcBorders>
            <w:shd w:val="clear" w:color="auto" w:fill="auto"/>
            <w:noWrap w:val="0"/>
            <w:vAlign w:val="top"/>
          </w:tcPr>
          <w:p>
            <w:pPr>
              <w:keepNext w:val="0"/>
              <w:keepLines w:val="0"/>
              <w:widowControl/>
              <w:suppressLineNumbers w:val="0"/>
              <w:jc w:val="center"/>
              <w:textAlignment w:val="top"/>
              <w:rPr>
                <w:rFonts w:hint="eastAsia" w:ascii="宋体" w:hAnsi="宋体" w:eastAsia="宋体" w:cs="Times New Roman"/>
                <w:kern w:val="2"/>
                <w:sz w:val="20"/>
                <w:szCs w:val="20"/>
                <w:highlight w:val="none"/>
                <w:lang w:val="ru-RU" w:eastAsia="zh-CN" w:bidi="ar-SA"/>
              </w:rPr>
            </w:pPr>
            <w:r>
              <w:rPr>
                <w:rFonts w:hint="eastAsia" w:ascii="宋体" w:hAnsi="宋体" w:eastAsia="宋体" w:cs="宋体"/>
                <w:i w:val="0"/>
                <w:iCs w:val="0"/>
                <w:color w:val="000000"/>
                <w:kern w:val="0"/>
                <w:sz w:val="20"/>
                <w:szCs w:val="20"/>
                <w:u w:val="none"/>
                <w:lang w:val="en-US" w:eastAsia="zh-CN" w:bidi="ar"/>
              </w:rPr>
              <w:t>94.0%</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335" w:hRule="atLeast"/>
        </w:trPr>
        <w:tc>
          <w:tcPr>
            <w:tcW w:w="3575" w:type="dxa"/>
            <w:tcBorders>
              <w:top w:val="single" w:color="4BACC6" w:sz="8" w:space="0"/>
              <w:left w:val="single" w:color="4BACC6" w:sz="8" w:space="0"/>
              <w:bottom w:val="single" w:color="4BACC6" w:sz="8" w:space="0"/>
              <w:right w:val="single" w:color="4BACC6" w:sz="8" w:space="0"/>
            </w:tcBorders>
            <w:shd w:val="clear" w:color="auto" w:fill="D2EAF0"/>
            <w:noWrap w:val="0"/>
            <w:vAlign w:val="top"/>
          </w:tcPr>
          <w:p>
            <w:pPr>
              <w:keepNext w:val="0"/>
              <w:keepLines w:val="0"/>
              <w:widowControl/>
              <w:suppressLineNumbers w:val="0"/>
              <w:jc w:val="center"/>
              <w:textAlignment w:val="top"/>
              <w:rPr>
                <w:rFonts w:hint="default" w:ascii="宋体" w:hAnsi="宋体" w:eastAsia="宋体" w:cs="Times New Roman"/>
                <w:b w:val="0"/>
                <w:bCs/>
                <w:sz w:val="20"/>
                <w:szCs w:val="20"/>
                <w:highlight w:val="yellow"/>
                <w:lang w:val="en-US" w:eastAsia="zh-CN"/>
              </w:rPr>
            </w:pPr>
            <w:r>
              <w:rPr>
                <w:rStyle w:val="27"/>
                <w:lang w:val="en-US" w:eastAsia="zh-CN" w:bidi="ar"/>
              </w:rPr>
              <w:t>计算机网络技术</w:t>
            </w:r>
          </w:p>
        </w:tc>
        <w:tc>
          <w:tcPr>
            <w:tcW w:w="1526" w:type="dxa"/>
            <w:tcBorders>
              <w:top w:val="single" w:color="4BACC6" w:sz="8" w:space="0"/>
              <w:bottom w:val="single" w:color="4BACC6" w:sz="8" w:space="0"/>
              <w:right w:val="single" w:color="4BACC6" w:sz="8" w:space="0"/>
            </w:tcBorders>
            <w:shd w:val="clear" w:color="auto" w:fill="D2EAF0"/>
            <w:noWrap w:val="0"/>
            <w:vAlign w:val="top"/>
          </w:tcPr>
          <w:p>
            <w:pPr>
              <w:keepNext w:val="0"/>
              <w:keepLines w:val="0"/>
              <w:widowControl/>
              <w:suppressLineNumbers w:val="0"/>
              <w:jc w:val="center"/>
              <w:textAlignment w:val="top"/>
              <w:rPr>
                <w:rFonts w:hint="default" w:ascii="宋体" w:hAnsi="宋体" w:eastAsia="宋体"/>
                <w:sz w:val="20"/>
                <w:szCs w:val="20"/>
                <w:highlight w:val="yellow"/>
                <w:lang w:val="en-US" w:eastAsia="zh-CN"/>
              </w:rPr>
            </w:pPr>
            <w:r>
              <w:rPr>
                <w:rFonts w:hint="eastAsia" w:ascii="宋体" w:hAnsi="宋体" w:eastAsia="宋体" w:cs="宋体"/>
                <w:i w:val="0"/>
                <w:iCs w:val="0"/>
                <w:color w:val="000000"/>
                <w:kern w:val="0"/>
                <w:sz w:val="20"/>
                <w:szCs w:val="20"/>
                <w:u w:val="none"/>
                <w:lang w:val="en-US" w:eastAsia="zh-CN" w:bidi="ar"/>
              </w:rPr>
              <w:t>79</w:t>
            </w:r>
          </w:p>
        </w:tc>
        <w:tc>
          <w:tcPr>
            <w:tcW w:w="1665" w:type="dxa"/>
            <w:tcBorders>
              <w:top w:val="single" w:color="4BACC6" w:sz="8" w:space="0"/>
              <w:bottom w:val="single" w:color="4BACC6" w:sz="8" w:space="0"/>
              <w:right w:val="single" w:color="4BACC6" w:sz="8" w:space="0"/>
            </w:tcBorders>
            <w:shd w:val="clear" w:color="auto" w:fill="D2EAF0"/>
            <w:noWrap w:val="0"/>
            <w:vAlign w:val="top"/>
          </w:tcPr>
          <w:p>
            <w:pPr>
              <w:keepNext w:val="0"/>
              <w:keepLines w:val="0"/>
              <w:widowControl/>
              <w:suppressLineNumbers w:val="0"/>
              <w:jc w:val="center"/>
              <w:textAlignment w:val="top"/>
              <w:rPr>
                <w:rFonts w:hint="default" w:ascii="宋体" w:hAnsi="宋体" w:eastAsia="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30</w:t>
            </w:r>
          </w:p>
        </w:tc>
        <w:tc>
          <w:tcPr>
            <w:tcW w:w="1576" w:type="dxa"/>
            <w:tcBorders>
              <w:top w:val="single" w:color="4BACC6" w:sz="8" w:space="0"/>
              <w:bottom w:val="single" w:color="4BACC6" w:sz="8" w:space="0"/>
              <w:right w:val="single" w:color="4BACC6" w:sz="8" w:space="0"/>
            </w:tcBorders>
            <w:shd w:val="clear" w:color="auto" w:fill="D2EAF0"/>
            <w:noWrap w:val="0"/>
            <w:vAlign w:val="top"/>
          </w:tcPr>
          <w:p>
            <w:pPr>
              <w:keepNext w:val="0"/>
              <w:keepLines w:val="0"/>
              <w:widowControl/>
              <w:suppressLineNumbers w:val="0"/>
              <w:jc w:val="center"/>
              <w:textAlignment w:val="top"/>
              <w:rPr>
                <w:rFonts w:hint="default" w:ascii="宋体" w:hAnsi="宋体" w:eastAsia="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90.0%</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335" w:hRule="atLeast"/>
        </w:trPr>
        <w:tc>
          <w:tcPr>
            <w:tcW w:w="3575" w:type="dxa"/>
            <w:tcBorders>
              <w:top w:val="single" w:color="4BACC6" w:sz="8" w:space="0"/>
              <w:left w:val="single" w:color="4BACC6" w:sz="8" w:space="0"/>
              <w:bottom w:val="single" w:color="4BACC6" w:sz="8" w:space="0"/>
              <w:right w:val="single" w:color="4BACC6" w:sz="8" w:space="0"/>
            </w:tcBorders>
            <w:shd w:val="clear" w:color="auto" w:fill="FFFFFF" w:themeFill="background1"/>
            <w:noWrap w:val="0"/>
            <w:vAlign w:val="top"/>
          </w:tcPr>
          <w:p>
            <w:pPr>
              <w:keepNext w:val="0"/>
              <w:keepLines w:val="0"/>
              <w:widowControl/>
              <w:suppressLineNumbers w:val="0"/>
              <w:jc w:val="center"/>
              <w:textAlignment w:val="top"/>
              <w:rPr>
                <w:rFonts w:hint="eastAsia" w:ascii="宋体" w:hAnsi="宋体" w:cs="Times New Roman"/>
                <w:b w:val="0"/>
                <w:bCs/>
                <w:sz w:val="20"/>
                <w:szCs w:val="20"/>
                <w:highlight w:val="yellow"/>
                <w:lang w:val="en-US" w:eastAsia="zh-CN"/>
              </w:rPr>
            </w:pPr>
            <w:r>
              <w:rPr>
                <w:rStyle w:val="27"/>
                <w:lang w:val="en-US" w:eastAsia="zh-CN" w:bidi="ar"/>
              </w:rPr>
              <w:t>移动互联应用技术</w:t>
            </w:r>
          </w:p>
        </w:tc>
        <w:tc>
          <w:tcPr>
            <w:tcW w:w="1526" w:type="dxa"/>
            <w:tcBorders>
              <w:top w:val="single" w:color="4BACC6" w:sz="8" w:space="0"/>
              <w:bottom w:val="single" w:color="4BACC6" w:sz="8" w:space="0"/>
              <w:right w:val="single" w:color="4BACC6" w:sz="8" w:space="0"/>
            </w:tcBorders>
            <w:shd w:val="clear" w:color="auto" w:fill="FFFFFF" w:themeFill="background1"/>
            <w:noWrap w:val="0"/>
            <w:vAlign w:val="top"/>
          </w:tcPr>
          <w:p>
            <w:pPr>
              <w:keepNext w:val="0"/>
              <w:keepLines w:val="0"/>
              <w:widowControl/>
              <w:suppressLineNumbers w:val="0"/>
              <w:jc w:val="center"/>
              <w:textAlignment w:val="top"/>
              <w:rPr>
                <w:rFonts w:hint="eastAsia" w:ascii="宋体" w:hAnsi="宋体"/>
                <w:sz w:val="20"/>
                <w:szCs w:val="20"/>
                <w:highlight w:val="yellow"/>
                <w:lang w:val="en-US" w:eastAsia="zh-CN"/>
              </w:rPr>
            </w:pPr>
            <w:r>
              <w:rPr>
                <w:rFonts w:hint="eastAsia" w:ascii="宋体" w:hAnsi="宋体" w:eastAsia="宋体" w:cs="宋体"/>
                <w:i w:val="0"/>
                <w:iCs w:val="0"/>
                <w:color w:val="000000"/>
                <w:kern w:val="0"/>
                <w:sz w:val="20"/>
                <w:szCs w:val="20"/>
                <w:u w:val="none"/>
                <w:lang w:val="en-US" w:eastAsia="zh-CN" w:bidi="ar"/>
              </w:rPr>
              <w:t>40</w:t>
            </w:r>
          </w:p>
        </w:tc>
        <w:tc>
          <w:tcPr>
            <w:tcW w:w="1665" w:type="dxa"/>
            <w:tcBorders>
              <w:top w:val="single" w:color="4BACC6" w:sz="8" w:space="0"/>
              <w:bottom w:val="single" w:color="4BACC6" w:sz="8" w:space="0"/>
              <w:right w:val="single" w:color="4BACC6" w:sz="8" w:space="0"/>
            </w:tcBorders>
            <w:shd w:val="clear" w:color="auto" w:fill="FFFFFF" w:themeFill="background1"/>
            <w:noWrap w:val="0"/>
            <w:vAlign w:val="top"/>
          </w:tcPr>
          <w:p>
            <w:pPr>
              <w:keepNext w:val="0"/>
              <w:keepLines w:val="0"/>
              <w:widowControl/>
              <w:suppressLineNumbers w:val="0"/>
              <w:jc w:val="center"/>
              <w:textAlignment w:val="top"/>
              <w:rPr>
                <w:rFonts w:hint="default" w:ascii="宋体" w:hAnsi="宋体"/>
                <w:sz w:val="20"/>
                <w:szCs w:val="20"/>
                <w:highlight w:val="yellow"/>
                <w:lang w:val="en-US" w:eastAsia="zh-CN"/>
              </w:rPr>
            </w:pPr>
            <w:r>
              <w:rPr>
                <w:rFonts w:hint="eastAsia" w:ascii="宋体" w:hAnsi="宋体" w:eastAsia="宋体" w:cs="宋体"/>
                <w:i w:val="0"/>
                <w:iCs w:val="0"/>
                <w:color w:val="000000"/>
                <w:kern w:val="0"/>
                <w:sz w:val="20"/>
                <w:szCs w:val="20"/>
                <w:u w:val="none"/>
                <w:lang w:val="en-US" w:eastAsia="zh-CN" w:bidi="ar"/>
              </w:rPr>
              <w:t>20</w:t>
            </w:r>
          </w:p>
        </w:tc>
        <w:tc>
          <w:tcPr>
            <w:tcW w:w="1576" w:type="dxa"/>
            <w:tcBorders>
              <w:top w:val="single" w:color="4BACC6" w:sz="8" w:space="0"/>
              <w:bottom w:val="single" w:color="4BACC6" w:sz="8" w:space="0"/>
              <w:right w:val="single" w:color="4BACC6" w:sz="8" w:space="0"/>
            </w:tcBorders>
            <w:shd w:val="clear" w:color="auto" w:fill="FFFFFF" w:themeFill="background1"/>
            <w:noWrap w:val="0"/>
            <w:vAlign w:val="top"/>
          </w:tcPr>
          <w:p>
            <w:pPr>
              <w:keepNext w:val="0"/>
              <w:keepLines w:val="0"/>
              <w:widowControl/>
              <w:suppressLineNumbers w:val="0"/>
              <w:jc w:val="center"/>
              <w:textAlignment w:val="top"/>
              <w:rPr>
                <w:rFonts w:hint="default" w:ascii="宋体" w:hAnsi="宋体"/>
                <w:sz w:val="20"/>
                <w:szCs w:val="20"/>
                <w:highlight w:val="none"/>
                <w:lang w:val="en-US" w:eastAsia="zh-CN"/>
              </w:rPr>
            </w:pPr>
            <w:r>
              <w:rPr>
                <w:rFonts w:hint="eastAsia" w:ascii="宋体" w:hAnsi="宋体" w:eastAsia="宋体" w:cs="宋体"/>
                <w:i w:val="0"/>
                <w:iCs w:val="0"/>
                <w:color w:val="000000"/>
                <w:kern w:val="0"/>
                <w:sz w:val="20"/>
                <w:szCs w:val="20"/>
                <w:u w:val="none"/>
                <w:lang w:val="en-US" w:eastAsia="zh-CN" w:bidi="ar"/>
              </w:rPr>
              <w:t>100.0%</w:t>
            </w:r>
          </w:p>
        </w:tc>
      </w:tr>
    </w:tbl>
    <w:p>
      <w:pPr>
        <w:pStyle w:val="10"/>
        <w:ind w:left="0" w:leftChars="0" w:firstLine="0" w:firstLineChars="0"/>
        <w:rPr>
          <w:rFonts w:hint="eastAsia"/>
          <w:lang w:val="en-US" w:eastAsia="zh-CN"/>
        </w:rPr>
      </w:pPr>
    </w:p>
    <w:p>
      <w:pPr>
        <w:numPr>
          <w:ilvl w:val="0"/>
          <w:numId w:val="0"/>
        </w:numPr>
        <w:jc w:val="both"/>
        <w:rPr>
          <w:rFonts w:hint="eastAsia"/>
          <w:lang w:val="en-US" w:eastAsia="zh-CN"/>
        </w:rPr>
      </w:pPr>
      <w:r>
        <w:rPr>
          <w:rFonts w:hint="eastAsia"/>
          <w:sz w:val="28"/>
          <w:szCs w:val="28"/>
          <w:lang w:val="en-US" w:eastAsia="zh-CN"/>
        </w:rPr>
        <w:t>一、就业结果</w:t>
      </w:r>
    </w:p>
    <w:p>
      <w:pPr>
        <w:numPr>
          <w:ilvl w:val="0"/>
          <w:numId w:val="8"/>
        </w:numPr>
        <w:jc w:val="both"/>
        <w:rPr>
          <w:rFonts w:hint="eastAsia"/>
          <w:sz w:val="28"/>
          <w:szCs w:val="28"/>
          <w:highlight w:val="none"/>
          <w:lang w:val="en-US" w:eastAsia="zh-CN"/>
        </w:rPr>
      </w:pPr>
      <w:r>
        <w:rPr>
          <w:rFonts w:hint="eastAsia"/>
          <w:sz w:val="28"/>
          <w:szCs w:val="28"/>
          <w:highlight w:val="none"/>
          <w:lang w:val="en-US" w:eastAsia="zh-CN"/>
        </w:rPr>
        <w:t>就业满意度</w:t>
      </w:r>
    </w:p>
    <w:p>
      <w:pPr>
        <w:numPr>
          <w:ilvl w:val="0"/>
          <w:numId w:val="0"/>
        </w:numPr>
        <w:ind w:firstLine="560" w:firstLineChars="200"/>
        <w:jc w:val="both"/>
        <w:rPr>
          <w:rFonts w:hint="eastAsia"/>
          <w:sz w:val="28"/>
          <w:szCs w:val="28"/>
          <w:lang w:val="en-US" w:eastAsia="zh-CN"/>
        </w:rPr>
      </w:pPr>
      <w:r>
        <w:rPr>
          <w:rFonts w:hint="eastAsia"/>
          <w:sz w:val="28"/>
          <w:szCs w:val="28"/>
          <w:lang w:val="en-US" w:eastAsia="zh-CN"/>
        </w:rPr>
        <w:t>调研数据显示，毕业生对当前的就业状况的满意度为</w:t>
      </w:r>
      <w:r>
        <w:rPr>
          <w:rFonts w:hint="eastAsia"/>
          <w:sz w:val="28"/>
          <w:szCs w:val="28"/>
          <w:highlight w:val="none"/>
          <w:lang w:val="en-US" w:eastAsia="zh-CN"/>
        </w:rPr>
        <w:t>86.57%</w:t>
      </w:r>
      <w:r>
        <w:rPr>
          <w:rFonts w:hint="eastAsia"/>
          <w:sz w:val="28"/>
          <w:szCs w:val="28"/>
          <w:lang w:val="en-US" w:eastAsia="zh-CN"/>
        </w:rPr>
        <w:t>，其中，“非常满意”占比28.90%，“比较满意”占比32.00%，“满意”占比25.67%。</w:t>
      </w:r>
    </w:p>
    <w:p>
      <w:pPr>
        <w:jc w:val="center"/>
        <w:rPr>
          <w:rFonts w:hint="default"/>
          <w:sz w:val="28"/>
          <w:szCs w:val="28"/>
          <w:lang w:val="en-US" w:eastAsia="zh-CN"/>
        </w:rPr>
      </w:pPr>
      <w:r>
        <w:rPr>
          <w:rFonts w:hint="eastAsia" w:asciiTheme="minorEastAsia" w:hAnsiTheme="minorEastAsia" w:eastAsiaTheme="minorEastAsia"/>
          <w:sz w:val="20"/>
          <w:szCs w:val="20"/>
          <w:lang w:val="en-US" w:eastAsia="zh-CN"/>
        </w:rPr>
        <w:t>图</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3</w:t>
      </w:r>
      <w:r>
        <w:rPr>
          <w:rFonts w:asciiTheme="minorEastAsia" w:hAnsiTheme="minorEastAsia" w:eastAsiaTheme="minorEastAsia"/>
          <w:sz w:val="20"/>
          <w:szCs w:val="20"/>
          <w:lang w:val="ru-RU"/>
        </w:rPr>
        <w:t>-</w:t>
      </w:r>
      <w:r>
        <w:rPr>
          <w:rFonts w:hint="eastAsia" w:asciiTheme="minorEastAsia" w:hAnsiTheme="minorEastAsia" w:eastAsiaTheme="minorEastAsia"/>
          <w:sz w:val="20"/>
          <w:szCs w:val="20"/>
          <w:lang w:val="en-US" w:eastAsia="zh-CN"/>
        </w:rPr>
        <w:t xml:space="preserve">1  </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2023届毕业生就业满意度</w:t>
      </w:r>
    </w:p>
    <w:p>
      <w:pPr>
        <w:numPr>
          <w:ilvl w:val="0"/>
          <w:numId w:val="0"/>
        </w:numPr>
        <w:jc w:val="both"/>
        <w:rPr>
          <w:rFonts w:hint="eastAsia"/>
          <w:sz w:val="28"/>
          <w:szCs w:val="28"/>
          <w:lang w:val="en-US" w:eastAsia="zh-CN"/>
        </w:rPr>
      </w:pPr>
      <w:r>
        <w:rPr>
          <w:rFonts w:hint="eastAsia"/>
          <w:sz w:val="28"/>
          <w:szCs w:val="28"/>
          <w:lang w:val="en-US" w:eastAsia="zh-CN"/>
        </w:rPr>
        <w:t xml:space="preserve">         </w:t>
      </w:r>
      <w:r>
        <w:rPr>
          <w:rFonts w:hint="eastAsia"/>
          <w:sz w:val="28"/>
          <w:szCs w:val="28"/>
          <w:lang w:val="en-US" w:eastAsia="zh-CN"/>
        </w:rPr>
        <w:drawing>
          <wp:inline distT="0" distB="0" distL="114300" distR="114300">
            <wp:extent cx="3629025" cy="2232660"/>
            <wp:effectExtent l="4445" t="4445" r="5080" b="10795"/>
            <wp:docPr id="25" name="图表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jc w:val="left"/>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注：就业满意度=非常满意+比较满意+满意</w:t>
      </w:r>
    </w:p>
    <w:p>
      <w:pPr>
        <w:pStyle w:val="6"/>
        <w:rPr>
          <w:rFonts w:hint="eastAsia"/>
          <w:lang w:val="en-US" w:eastAsia="zh-CN"/>
        </w:rPr>
      </w:pPr>
    </w:p>
    <w:p>
      <w:pPr>
        <w:numPr>
          <w:ilvl w:val="0"/>
          <w:numId w:val="8"/>
        </w:numPr>
        <w:ind w:left="0" w:leftChars="0" w:firstLine="0" w:firstLineChars="0"/>
        <w:jc w:val="both"/>
        <w:rPr>
          <w:rFonts w:hint="eastAsia"/>
          <w:sz w:val="28"/>
          <w:szCs w:val="28"/>
          <w:lang w:val="en-US" w:eastAsia="zh-CN"/>
        </w:rPr>
      </w:pPr>
      <w:r>
        <w:rPr>
          <w:rFonts w:hint="eastAsia"/>
          <w:sz w:val="28"/>
          <w:szCs w:val="28"/>
          <w:lang w:val="en-US" w:eastAsia="zh-CN"/>
        </w:rPr>
        <w:t>就业心态</w:t>
      </w:r>
    </w:p>
    <w:p>
      <w:pPr>
        <w:numPr>
          <w:ilvl w:val="0"/>
          <w:numId w:val="0"/>
        </w:numPr>
        <w:ind w:firstLine="560" w:firstLineChars="200"/>
        <w:jc w:val="both"/>
        <w:rPr>
          <w:rFonts w:hint="default" w:cs="Times New Roman"/>
          <w:sz w:val="28"/>
          <w:szCs w:val="28"/>
          <w:lang w:val="en-US" w:eastAsia="zh-CN"/>
        </w:rPr>
      </w:pPr>
      <w:r>
        <w:rPr>
          <w:rFonts w:hint="eastAsia" w:cs="Times New Roman"/>
          <w:sz w:val="28"/>
          <w:szCs w:val="28"/>
          <w:lang w:val="en-US" w:eastAsia="zh-CN"/>
        </w:rPr>
        <w:t>调研数据显示，毕业生目前就业心态乐观度为81.05%，其中 “非常乐观”</w:t>
      </w:r>
      <w:r>
        <w:rPr>
          <w:rFonts w:hint="default" w:cs="Times New Roman"/>
          <w:sz w:val="28"/>
          <w:szCs w:val="28"/>
          <w:lang w:val="en-US" w:eastAsia="zh-CN"/>
        </w:rPr>
        <w:t>占比</w:t>
      </w:r>
      <w:r>
        <w:rPr>
          <w:rFonts w:hint="eastAsia" w:cs="Times New Roman"/>
          <w:sz w:val="28"/>
          <w:szCs w:val="28"/>
          <w:lang w:val="en-US" w:eastAsia="zh-CN"/>
        </w:rPr>
        <w:t>22.63%</w:t>
      </w:r>
      <w:r>
        <w:rPr>
          <w:rFonts w:hint="default" w:cs="Times New Roman"/>
          <w:sz w:val="28"/>
          <w:szCs w:val="28"/>
          <w:lang w:val="en-US" w:eastAsia="zh-CN"/>
        </w:rPr>
        <w:t>，“ 乐观 ”占比24.</w:t>
      </w:r>
      <w:r>
        <w:rPr>
          <w:rFonts w:hint="eastAsia" w:cs="Times New Roman"/>
          <w:sz w:val="28"/>
          <w:szCs w:val="28"/>
          <w:lang w:val="en-US" w:eastAsia="zh-CN"/>
        </w:rPr>
        <w:t>53</w:t>
      </w:r>
      <w:r>
        <w:rPr>
          <w:rFonts w:hint="default" w:cs="Times New Roman"/>
          <w:sz w:val="28"/>
          <w:szCs w:val="28"/>
          <w:lang w:val="en-US" w:eastAsia="zh-CN"/>
        </w:rPr>
        <w:t>%，“比较乐观”占比3</w:t>
      </w:r>
      <w:r>
        <w:rPr>
          <w:rFonts w:hint="eastAsia" w:cs="Times New Roman"/>
          <w:sz w:val="28"/>
          <w:szCs w:val="28"/>
          <w:lang w:val="en-US" w:eastAsia="zh-CN"/>
        </w:rPr>
        <w:t>3.89</w:t>
      </w:r>
      <w:r>
        <w:rPr>
          <w:rFonts w:hint="default" w:cs="Times New Roman"/>
          <w:sz w:val="28"/>
          <w:szCs w:val="28"/>
          <w:lang w:val="en-US" w:eastAsia="zh-CN"/>
        </w:rPr>
        <w:t>%。</w:t>
      </w:r>
    </w:p>
    <w:p>
      <w:pPr>
        <w:jc w:val="center"/>
        <w:rPr>
          <w:rFonts w:hint="default"/>
          <w:sz w:val="28"/>
          <w:szCs w:val="28"/>
          <w:lang w:val="en-US" w:eastAsia="zh-CN"/>
        </w:rPr>
      </w:pPr>
      <w:r>
        <w:rPr>
          <w:rFonts w:hint="eastAsia" w:asciiTheme="minorEastAsia" w:hAnsiTheme="minorEastAsia" w:eastAsiaTheme="minorEastAsia"/>
          <w:sz w:val="20"/>
          <w:szCs w:val="20"/>
          <w:lang w:val="en-US" w:eastAsia="zh-CN"/>
        </w:rPr>
        <w:t>图</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3</w:t>
      </w:r>
      <w:r>
        <w:rPr>
          <w:rFonts w:asciiTheme="minorEastAsia" w:hAnsiTheme="minorEastAsia" w:eastAsiaTheme="minorEastAsia"/>
          <w:sz w:val="20"/>
          <w:szCs w:val="20"/>
          <w:lang w:val="ru-RU"/>
        </w:rPr>
        <w:t>-</w:t>
      </w:r>
      <w:r>
        <w:rPr>
          <w:rFonts w:hint="eastAsia" w:asciiTheme="minorEastAsia" w:hAnsiTheme="minorEastAsia" w:eastAsiaTheme="minorEastAsia"/>
          <w:sz w:val="20"/>
          <w:szCs w:val="20"/>
          <w:lang w:val="en-US" w:eastAsia="zh-CN"/>
        </w:rPr>
        <w:t xml:space="preserve">2  </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2023届毕业生就业乐观度</w:t>
      </w:r>
    </w:p>
    <w:p>
      <w:pPr>
        <w:numPr>
          <w:ilvl w:val="0"/>
          <w:numId w:val="0"/>
        </w:numPr>
        <w:jc w:val="both"/>
        <w:rPr>
          <w:rFonts w:hint="eastAsia"/>
          <w:sz w:val="28"/>
          <w:szCs w:val="28"/>
          <w:lang w:val="en-US" w:eastAsia="zh-CN"/>
        </w:rPr>
      </w:pPr>
      <w:r>
        <w:rPr>
          <w:rFonts w:hint="eastAsia"/>
          <w:sz w:val="28"/>
          <w:szCs w:val="28"/>
          <w:lang w:val="en-US" w:eastAsia="zh-CN"/>
        </w:rPr>
        <w:t xml:space="preserve">         </w:t>
      </w:r>
      <w:r>
        <w:rPr>
          <w:rFonts w:hint="eastAsia"/>
          <w:sz w:val="28"/>
          <w:szCs w:val="28"/>
          <w:lang w:val="en-US" w:eastAsia="zh-CN"/>
        </w:rPr>
        <w:drawing>
          <wp:inline distT="0" distB="0" distL="114300" distR="114300">
            <wp:extent cx="3707765" cy="1963420"/>
            <wp:effectExtent l="4445" t="4445" r="21590" b="1333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jc w:val="left"/>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注：就业乐观度=非常乐观+乐观+比较乐观</w:t>
      </w:r>
    </w:p>
    <w:p>
      <w:pPr>
        <w:rPr>
          <w:rFonts w:hint="eastAsia"/>
          <w:lang w:val="en-US" w:eastAsia="zh-CN"/>
        </w:rPr>
      </w:pPr>
    </w:p>
    <w:p>
      <w:pPr>
        <w:numPr>
          <w:ilvl w:val="0"/>
          <w:numId w:val="8"/>
        </w:numPr>
        <w:ind w:left="0" w:leftChars="0" w:firstLine="0" w:firstLineChars="0"/>
        <w:jc w:val="both"/>
        <w:rPr>
          <w:rFonts w:hint="eastAsia"/>
          <w:sz w:val="28"/>
          <w:szCs w:val="28"/>
          <w:lang w:val="en-US" w:eastAsia="zh-CN"/>
        </w:rPr>
      </w:pPr>
      <w:r>
        <w:rPr>
          <w:rFonts w:hint="eastAsia"/>
          <w:sz w:val="28"/>
          <w:szCs w:val="28"/>
          <w:lang w:val="en-US" w:eastAsia="zh-CN"/>
        </w:rPr>
        <w:t>薪资分布</w:t>
      </w:r>
    </w:p>
    <w:p>
      <w:pPr>
        <w:numPr>
          <w:ilvl w:val="0"/>
          <w:numId w:val="9"/>
        </w:numPr>
        <w:ind w:leftChars="0"/>
        <w:jc w:val="both"/>
        <w:rPr>
          <w:rFonts w:hint="eastAsia"/>
          <w:sz w:val="28"/>
          <w:szCs w:val="28"/>
          <w:lang w:val="en-US" w:eastAsia="zh-CN"/>
        </w:rPr>
      </w:pPr>
      <w:r>
        <w:rPr>
          <w:rFonts w:hint="eastAsia"/>
          <w:sz w:val="28"/>
          <w:szCs w:val="28"/>
          <w:lang w:val="en-US" w:eastAsia="zh-CN"/>
        </w:rPr>
        <w:t>总体月薪分布范围</w:t>
      </w:r>
    </w:p>
    <w:p>
      <w:pPr>
        <w:numPr>
          <w:ilvl w:val="0"/>
          <w:numId w:val="0"/>
        </w:numPr>
        <w:ind w:firstLine="560" w:firstLineChars="200"/>
        <w:jc w:val="both"/>
        <w:rPr>
          <w:rFonts w:hint="eastAsia" w:asciiTheme="minorEastAsia" w:hAnsiTheme="minorEastAsia" w:eastAsiaTheme="minorEastAsia"/>
          <w:sz w:val="20"/>
          <w:szCs w:val="20"/>
          <w:lang w:val="ru-RU"/>
        </w:rPr>
      </w:pPr>
      <w:r>
        <w:rPr>
          <w:rFonts w:hint="eastAsia"/>
          <w:sz w:val="28"/>
          <w:szCs w:val="28"/>
          <w:lang w:val="en-US" w:eastAsia="zh-CN"/>
        </w:rPr>
        <w:t>调研数据显示，用人单位为</w:t>
      </w:r>
      <w:r>
        <w:rPr>
          <w:rFonts w:hint="eastAsia"/>
          <w:sz w:val="28"/>
          <w:szCs w:val="28"/>
          <w:highlight w:val="none"/>
          <w:lang w:val="en-US" w:eastAsia="zh-CN"/>
        </w:rPr>
        <w:t>2023届</w:t>
      </w:r>
      <w:r>
        <w:rPr>
          <w:rFonts w:hint="eastAsia"/>
          <w:sz w:val="28"/>
          <w:szCs w:val="28"/>
          <w:lang w:val="en-US" w:eastAsia="zh-CN"/>
        </w:rPr>
        <w:t>毕业生提供的月薪（实发到手工资）主要集中在“3001-4000元”（29.96%）、其次为“4001-5000元”（22.53%）、“3000元以下”（20.70%）。</w:t>
      </w:r>
    </w:p>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图</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3</w:t>
      </w:r>
      <w:r>
        <w:rPr>
          <w:rFonts w:asciiTheme="minorEastAsia" w:hAnsiTheme="minorEastAsia" w:eastAsiaTheme="minorEastAsia"/>
          <w:sz w:val="20"/>
          <w:szCs w:val="20"/>
          <w:lang w:val="ru-RU"/>
        </w:rPr>
        <w:t>-</w:t>
      </w:r>
      <w:r>
        <w:rPr>
          <w:rFonts w:hint="eastAsia" w:asciiTheme="minorEastAsia" w:hAnsiTheme="minorEastAsia" w:eastAsiaTheme="minorEastAsia"/>
          <w:sz w:val="20"/>
          <w:szCs w:val="20"/>
          <w:lang w:val="en-US" w:eastAsia="zh-CN"/>
        </w:rPr>
        <w:t xml:space="preserve">3  </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2023届毕业生月薪分布范围</w:t>
      </w:r>
    </w:p>
    <w:p>
      <w:pPr>
        <w:numPr>
          <w:ilvl w:val="0"/>
          <w:numId w:val="0"/>
        </w:numPr>
        <w:ind w:firstLine="560"/>
        <w:jc w:val="both"/>
        <w:rPr>
          <w:rFonts w:hint="default"/>
          <w:sz w:val="28"/>
          <w:szCs w:val="28"/>
          <w:lang w:val="en-US" w:eastAsia="zh-CN"/>
        </w:rPr>
      </w:pPr>
      <w:r>
        <w:rPr>
          <w:rFonts w:hint="default"/>
          <w:sz w:val="28"/>
          <w:szCs w:val="28"/>
          <w:lang w:val="en-US" w:eastAsia="zh-CN"/>
        </w:rPr>
        <w:drawing>
          <wp:inline distT="0" distB="0" distL="114300" distR="114300">
            <wp:extent cx="4754245" cy="2643505"/>
            <wp:effectExtent l="4445" t="4445" r="22860" b="19050"/>
            <wp:docPr id="20" name="图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10"/>
        <w:rPr>
          <w:rFonts w:hint="default"/>
          <w:lang w:val="en-US" w:eastAsia="zh-CN"/>
        </w:rPr>
      </w:pPr>
    </w:p>
    <w:p>
      <w:pPr>
        <w:numPr>
          <w:ilvl w:val="0"/>
          <w:numId w:val="9"/>
        </w:numPr>
        <w:ind w:left="0" w:leftChars="0" w:firstLine="0" w:firstLineChars="0"/>
        <w:jc w:val="both"/>
        <w:rPr>
          <w:rFonts w:hint="eastAsia"/>
          <w:sz w:val="28"/>
          <w:szCs w:val="28"/>
          <w:lang w:val="en-US" w:eastAsia="zh-CN"/>
        </w:rPr>
      </w:pPr>
      <w:r>
        <w:rPr>
          <w:rFonts w:hint="eastAsia"/>
          <w:sz w:val="28"/>
          <w:szCs w:val="28"/>
          <w:lang w:val="en-US" w:eastAsia="zh-CN"/>
        </w:rPr>
        <w:t>毕业生薪资满意度</w:t>
      </w:r>
    </w:p>
    <w:p>
      <w:pPr>
        <w:numPr>
          <w:ilvl w:val="0"/>
          <w:numId w:val="0"/>
        </w:numPr>
        <w:ind w:leftChars="0"/>
        <w:jc w:val="both"/>
        <w:rPr>
          <w:rFonts w:hint="eastAsia"/>
          <w:sz w:val="28"/>
          <w:szCs w:val="28"/>
          <w:highlight w:val="red"/>
          <w:lang w:val="en-US" w:eastAsia="zh-CN"/>
        </w:rPr>
      </w:pPr>
      <w:r>
        <w:rPr>
          <w:rFonts w:hint="eastAsia"/>
          <w:sz w:val="28"/>
          <w:szCs w:val="28"/>
          <w:lang w:val="en-US" w:eastAsia="zh-CN"/>
        </w:rPr>
        <w:t xml:space="preserve">    调研数据显示，毕业生对目前的薪资水平满意度为49.78%。其中，“非常满意”占比3.84%，“比较满意”占比19.04%，“满意”占比26.90%。</w:t>
      </w:r>
    </w:p>
    <w:p>
      <w:pPr>
        <w:jc w:val="center"/>
        <w:rPr>
          <w:rFonts w:hint="default" w:asciiTheme="minorEastAsia" w:hAnsiTheme="minorEastAsia" w:eastAsiaTheme="minorEastAsia"/>
          <w:sz w:val="20"/>
          <w:szCs w:val="20"/>
          <w:lang w:val="en-US" w:eastAsia="zh-CN"/>
        </w:rPr>
      </w:pPr>
      <w:r>
        <w:rPr>
          <w:rFonts w:hint="eastAsia"/>
          <w:sz w:val="28"/>
          <w:szCs w:val="28"/>
          <w:lang w:val="en-US" w:eastAsia="zh-CN"/>
        </w:rPr>
        <w:t xml:space="preserve">   </w:t>
      </w:r>
      <w:r>
        <w:rPr>
          <w:rFonts w:hint="eastAsia" w:asciiTheme="minorEastAsia" w:hAnsiTheme="minorEastAsia" w:eastAsiaTheme="minorEastAsia"/>
          <w:sz w:val="20"/>
          <w:szCs w:val="20"/>
          <w:lang w:val="en-US" w:eastAsia="zh-CN"/>
        </w:rPr>
        <w:t>图</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3</w:t>
      </w:r>
      <w:r>
        <w:rPr>
          <w:rFonts w:asciiTheme="minorEastAsia" w:hAnsiTheme="minorEastAsia" w:eastAsiaTheme="minorEastAsia"/>
          <w:sz w:val="20"/>
          <w:szCs w:val="20"/>
          <w:lang w:val="ru-RU"/>
        </w:rPr>
        <w:t>-</w:t>
      </w:r>
      <w:r>
        <w:rPr>
          <w:rFonts w:hint="eastAsia" w:asciiTheme="minorEastAsia" w:hAnsiTheme="minorEastAsia" w:eastAsiaTheme="minorEastAsia"/>
          <w:sz w:val="20"/>
          <w:szCs w:val="20"/>
          <w:lang w:val="en-US" w:eastAsia="zh-CN"/>
        </w:rPr>
        <w:t xml:space="preserve">4  </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2023届毕业生薪资水平满意度</w:t>
      </w:r>
    </w:p>
    <w:p>
      <w:pPr>
        <w:numPr>
          <w:ilvl w:val="0"/>
          <w:numId w:val="0"/>
        </w:numPr>
        <w:ind w:leftChars="0"/>
        <w:jc w:val="both"/>
        <w:rPr>
          <w:rFonts w:hint="default"/>
          <w:sz w:val="28"/>
          <w:szCs w:val="28"/>
          <w:lang w:val="en-US" w:eastAsia="zh-CN"/>
        </w:rPr>
      </w:pPr>
      <w:r>
        <w:rPr>
          <w:rFonts w:hint="eastAsia"/>
          <w:sz w:val="28"/>
          <w:szCs w:val="28"/>
          <w:lang w:val="en-US" w:eastAsia="zh-CN"/>
        </w:rPr>
        <w:t xml:space="preserve">         </w:t>
      </w:r>
      <w:r>
        <w:rPr>
          <w:rFonts w:hint="default"/>
          <w:sz w:val="28"/>
          <w:szCs w:val="28"/>
          <w:lang w:val="en-US" w:eastAsia="zh-CN"/>
        </w:rPr>
        <w:drawing>
          <wp:inline distT="0" distB="0" distL="114300" distR="114300">
            <wp:extent cx="3845560" cy="1652905"/>
            <wp:effectExtent l="4445" t="4445" r="17145" b="19050"/>
            <wp:docPr id="27" name="图表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jc w:val="left"/>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注：薪资水平满意度=非常满意+比较满意+满意</w:t>
      </w:r>
    </w:p>
    <w:p>
      <w:pPr>
        <w:jc w:val="left"/>
        <w:rPr>
          <w:rFonts w:hint="default" w:asciiTheme="minorEastAsia" w:hAnsiTheme="minorEastAsia" w:eastAsiaTheme="minorEastAsia"/>
          <w:sz w:val="20"/>
          <w:szCs w:val="20"/>
          <w:lang w:val="en-US" w:eastAsia="zh-CN"/>
        </w:rPr>
      </w:pPr>
    </w:p>
    <w:p>
      <w:pPr>
        <w:numPr>
          <w:ilvl w:val="0"/>
          <w:numId w:val="8"/>
        </w:numPr>
        <w:ind w:left="0" w:leftChars="0" w:firstLine="0" w:firstLineChars="0"/>
        <w:jc w:val="both"/>
        <w:rPr>
          <w:rFonts w:hint="eastAsia"/>
          <w:sz w:val="28"/>
          <w:szCs w:val="28"/>
          <w:lang w:val="en-US" w:eastAsia="zh-CN"/>
        </w:rPr>
      </w:pPr>
      <w:r>
        <w:rPr>
          <w:rFonts w:hint="eastAsia"/>
          <w:sz w:val="28"/>
          <w:szCs w:val="28"/>
          <w:lang w:val="en-US" w:eastAsia="zh-CN"/>
        </w:rPr>
        <w:t>福利保障</w:t>
      </w:r>
    </w:p>
    <w:p>
      <w:pPr>
        <w:numPr>
          <w:ilvl w:val="0"/>
          <w:numId w:val="0"/>
        </w:numPr>
        <w:ind w:leftChars="0"/>
        <w:jc w:val="both"/>
        <w:rPr>
          <w:rFonts w:hint="default"/>
          <w:sz w:val="28"/>
          <w:szCs w:val="28"/>
          <w:lang w:val="en-US" w:eastAsia="zh-CN"/>
        </w:rPr>
      </w:pPr>
      <w:r>
        <w:rPr>
          <w:rFonts w:hint="eastAsia"/>
          <w:sz w:val="28"/>
          <w:szCs w:val="28"/>
          <w:lang w:val="en-US" w:eastAsia="zh-CN"/>
        </w:rPr>
        <w:t xml:space="preserve">    调研数据显示，用人单位给毕业生提供社会保障和福利的总体保障度为73.62%，其中“除提供五险一金外，还提供其他保障和补贴（如企业年金、商业保险）”占比12.58%，“提供五险一金”占比35.63%，“仅五险”占比25.41%。</w:t>
      </w:r>
    </w:p>
    <w:p>
      <w:pPr>
        <w:ind w:firstLine="400" w:firstLineChars="200"/>
        <w:jc w:val="center"/>
        <w:rPr>
          <w:rFonts w:hint="default"/>
          <w:sz w:val="28"/>
          <w:szCs w:val="28"/>
          <w:lang w:val="en-US"/>
        </w:rPr>
      </w:pPr>
      <w:r>
        <w:rPr>
          <w:rFonts w:hint="eastAsia" w:asciiTheme="minorEastAsia" w:hAnsiTheme="minorEastAsia" w:eastAsiaTheme="minorEastAsia"/>
          <w:sz w:val="20"/>
          <w:szCs w:val="20"/>
          <w:lang w:val="en-US" w:eastAsia="zh-CN"/>
        </w:rPr>
        <w:t>图</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3</w:t>
      </w:r>
      <w:r>
        <w:rPr>
          <w:rFonts w:asciiTheme="minorEastAsia" w:hAnsiTheme="minorEastAsia" w:eastAsiaTheme="minorEastAsia"/>
          <w:sz w:val="20"/>
          <w:szCs w:val="20"/>
          <w:lang w:val="ru-RU"/>
        </w:rPr>
        <w:t>-</w:t>
      </w:r>
      <w:r>
        <w:rPr>
          <w:rFonts w:hint="eastAsia" w:asciiTheme="minorEastAsia" w:hAnsiTheme="minorEastAsia" w:eastAsiaTheme="minorEastAsia"/>
          <w:sz w:val="20"/>
          <w:szCs w:val="20"/>
          <w:lang w:val="en-US" w:eastAsia="zh-CN"/>
        </w:rPr>
        <w:t xml:space="preserve">5  </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2023届毕业生福利保障情况</w:t>
      </w:r>
    </w:p>
    <w:p>
      <w:pPr>
        <w:ind w:firstLine="560" w:firstLineChars="200"/>
        <w:jc w:val="left"/>
        <w:rPr>
          <w:rFonts w:hint="eastAsia" w:eastAsia="宋体"/>
          <w:sz w:val="28"/>
          <w:szCs w:val="28"/>
          <w:lang w:val="ru-RU" w:eastAsia="zh-CN"/>
        </w:rPr>
      </w:pPr>
      <w:r>
        <w:rPr>
          <w:rFonts w:hint="eastAsia"/>
          <w:sz w:val="28"/>
          <w:szCs w:val="28"/>
          <w:lang w:val="en-US" w:eastAsia="zh-CN"/>
        </w:rPr>
        <w:t xml:space="preserve">      </w:t>
      </w:r>
      <w:r>
        <w:rPr>
          <w:rFonts w:hint="eastAsia" w:eastAsia="宋体"/>
          <w:sz w:val="28"/>
          <w:szCs w:val="28"/>
          <w:lang w:val="ru-RU" w:eastAsia="zh-CN"/>
        </w:rPr>
        <w:drawing>
          <wp:inline distT="0" distB="0" distL="114300" distR="114300">
            <wp:extent cx="3977640" cy="2804160"/>
            <wp:effectExtent l="4445" t="4445" r="18415" b="10795"/>
            <wp:docPr id="32" name="图表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jc w:val="left"/>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注：福利总体保障度=五险一金+仅五险+提供五险一金外，还提供其他保障和补贴</w:t>
      </w:r>
    </w:p>
    <w:p>
      <w:pPr>
        <w:jc w:val="left"/>
        <w:rPr>
          <w:rFonts w:hint="default" w:asciiTheme="minorEastAsia" w:hAnsiTheme="minorEastAsia" w:eastAsiaTheme="minorEastAsia"/>
          <w:sz w:val="20"/>
          <w:szCs w:val="20"/>
          <w:lang w:val="en-US" w:eastAsia="zh-CN"/>
        </w:rPr>
      </w:pPr>
    </w:p>
    <w:p>
      <w:pPr>
        <w:numPr>
          <w:ilvl w:val="0"/>
          <w:numId w:val="0"/>
        </w:numPr>
        <w:ind w:leftChars="0"/>
        <w:jc w:val="left"/>
        <w:rPr>
          <w:rFonts w:hint="eastAsia"/>
          <w:sz w:val="28"/>
          <w:szCs w:val="28"/>
          <w:lang w:val="en-US" w:eastAsia="zh-CN"/>
        </w:rPr>
      </w:pPr>
      <w:r>
        <w:rPr>
          <w:rFonts w:hint="eastAsia"/>
          <w:sz w:val="28"/>
          <w:szCs w:val="28"/>
          <w:lang w:val="en-US" w:eastAsia="zh-CN"/>
        </w:rPr>
        <w:t>二、就业适配</w:t>
      </w:r>
    </w:p>
    <w:p>
      <w:pPr>
        <w:numPr>
          <w:ilvl w:val="0"/>
          <w:numId w:val="10"/>
        </w:numPr>
        <w:ind w:leftChars="0"/>
        <w:jc w:val="left"/>
        <w:rPr>
          <w:rFonts w:hint="eastAsia"/>
          <w:sz w:val="28"/>
          <w:szCs w:val="28"/>
          <w:lang w:val="en-US" w:eastAsia="zh-CN"/>
        </w:rPr>
      </w:pPr>
      <w:r>
        <w:rPr>
          <w:rFonts w:hint="eastAsia"/>
          <w:sz w:val="28"/>
          <w:szCs w:val="28"/>
          <w:lang w:val="en-US" w:eastAsia="zh-CN"/>
        </w:rPr>
        <w:t>总体专业相关度</w:t>
      </w:r>
    </w:p>
    <w:p>
      <w:pPr>
        <w:numPr>
          <w:ilvl w:val="0"/>
          <w:numId w:val="0"/>
        </w:numPr>
        <w:ind w:firstLine="560" w:firstLineChars="200"/>
        <w:jc w:val="left"/>
        <w:rPr>
          <w:rFonts w:hint="default"/>
          <w:sz w:val="28"/>
          <w:szCs w:val="28"/>
          <w:lang w:val="en-US" w:eastAsia="zh-CN"/>
        </w:rPr>
      </w:pPr>
      <w:r>
        <w:rPr>
          <w:rFonts w:hint="eastAsia"/>
          <w:sz w:val="28"/>
          <w:szCs w:val="28"/>
          <w:lang w:val="en-US" w:eastAsia="zh-CN"/>
        </w:rPr>
        <w:t>调研数据显示，毕业生目前从事的工作与所学专业的总相关度为54.06%。其中，“非常相关”占比11.44%，“比较相关”占比19.39%，“相关”占比23.23%。</w:t>
      </w:r>
    </w:p>
    <w:p>
      <w:pPr>
        <w:ind w:firstLine="400" w:firstLineChars="200"/>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图</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3</w:t>
      </w:r>
      <w:r>
        <w:rPr>
          <w:rFonts w:asciiTheme="minorEastAsia" w:hAnsiTheme="minorEastAsia" w:eastAsiaTheme="minorEastAsia"/>
          <w:sz w:val="20"/>
          <w:szCs w:val="20"/>
          <w:lang w:val="ru-RU"/>
        </w:rPr>
        <w:t>-</w:t>
      </w:r>
      <w:r>
        <w:rPr>
          <w:rFonts w:hint="eastAsia" w:asciiTheme="minorEastAsia" w:hAnsiTheme="minorEastAsia" w:eastAsiaTheme="minorEastAsia"/>
          <w:sz w:val="20"/>
          <w:szCs w:val="20"/>
          <w:lang w:val="en-US" w:eastAsia="zh-CN"/>
        </w:rPr>
        <w:t xml:space="preserve">6  </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2023届毕业生就业与专业相关度</w:t>
      </w:r>
    </w:p>
    <w:p>
      <w:pPr>
        <w:ind w:firstLine="400" w:firstLineChars="200"/>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drawing>
          <wp:inline distT="0" distB="0" distL="114300" distR="114300">
            <wp:extent cx="4031615" cy="2199005"/>
            <wp:effectExtent l="4445" t="4445" r="21590" b="6350"/>
            <wp:docPr id="35" name="图表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jc w:val="left"/>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注：总体专业相关度=非常相关+比较相关+相关</w:t>
      </w:r>
    </w:p>
    <w:p>
      <w:pPr>
        <w:jc w:val="left"/>
        <w:rPr>
          <w:rFonts w:hint="default" w:asciiTheme="minorEastAsia" w:hAnsiTheme="minorEastAsia" w:eastAsiaTheme="minorEastAsia"/>
          <w:sz w:val="20"/>
          <w:szCs w:val="20"/>
          <w:lang w:val="en-US" w:eastAsia="zh-CN"/>
        </w:rPr>
      </w:pPr>
    </w:p>
    <w:p>
      <w:pPr>
        <w:numPr>
          <w:ilvl w:val="0"/>
          <w:numId w:val="10"/>
        </w:numPr>
        <w:ind w:leftChars="0"/>
        <w:jc w:val="left"/>
        <w:rPr>
          <w:rFonts w:hint="eastAsia"/>
          <w:sz w:val="28"/>
          <w:szCs w:val="28"/>
          <w:lang w:val="en-US" w:eastAsia="zh-CN"/>
        </w:rPr>
      </w:pPr>
      <w:r>
        <w:rPr>
          <w:rFonts w:hint="eastAsia"/>
          <w:sz w:val="28"/>
          <w:szCs w:val="28"/>
          <w:lang w:val="en-US" w:eastAsia="zh-CN"/>
        </w:rPr>
        <w:t>从事不相关专业的原因</w:t>
      </w:r>
    </w:p>
    <w:p>
      <w:pPr>
        <w:ind w:firstLine="560" w:firstLineChars="200"/>
        <w:jc w:val="left"/>
        <w:rPr>
          <w:rFonts w:hint="default" w:eastAsia="宋体"/>
          <w:sz w:val="28"/>
          <w:szCs w:val="28"/>
          <w:lang w:val="en-US" w:eastAsia="zh-CN"/>
        </w:rPr>
      </w:pPr>
      <w:r>
        <w:rPr>
          <w:rFonts w:hint="eastAsia"/>
          <w:sz w:val="28"/>
          <w:szCs w:val="28"/>
          <w:lang w:val="en-US" w:eastAsia="zh-CN"/>
        </w:rPr>
        <w:t>调研数据显示，毕业生从事与本专业不相关的工作主要原因为“迫于现实先就业再择业”（29.85%），其次为“专业工作岗位招聘少”（15.78%）、“专业工作收入水平较低”（11.98%）。</w:t>
      </w:r>
    </w:p>
    <w:p>
      <w:pPr>
        <w:ind w:firstLine="400" w:firstLineChars="200"/>
        <w:jc w:val="center"/>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图</w:t>
      </w:r>
      <w:r>
        <w:rPr>
          <w:rFonts w:asciiTheme="minorEastAsia" w:hAnsiTheme="minorEastAsia" w:eastAsiaTheme="minorEastAsia"/>
          <w:sz w:val="20"/>
          <w:szCs w:val="20"/>
          <w:highlight w:val="none"/>
          <w:lang w:val="ru-RU"/>
        </w:rPr>
        <w:t xml:space="preserve"> </w:t>
      </w:r>
      <w:r>
        <w:rPr>
          <w:rFonts w:hint="eastAsia" w:asciiTheme="minorEastAsia" w:hAnsiTheme="minorEastAsia" w:eastAsiaTheme="minorEastAsia"/>
          <w:sz w:val="20"/>
          <w:szCs w:val="20"/>
          <w:highlight w:val="none"/>
          <w:lang w:val="en-US" w:eastAsia="zh-CN"/>
        </w:rPr>
        <w:t>3</w:t>
      </w:r>
      <w:r>
        <w:rPr>
          <w:rFonts w:asciiTheme="minorEastAsia" w:hAnsiTheme="minorEastAsia" w:eastAsiaTheme="minorEastAsia"/>
          <w:sz w:val="20"/>
          <w:szCs w:val="20"/>
          <w:highlight w:val="none"/>
          <w:lang w:val="ru-RU"/>
        </w:rPr>
        <w:t>-</w:t>
      </w:r>
      <w:r>
        <w:rPr>
          <w:rFonts w:hint="eastAsia" w:asciiTheme="minorEastAsia" w:hAnsiTheme="minorEastAsia" w:eastAsiaTheme="minorEastAsia"/>
          <w:sz w:val="20"/>
          <w:szCs w:val="20"/>
          <w:highlight w:val="none"/>
          <w:lang w:val="en-US" w:eastAsia="zh-CN"/>
        </w:rPr>
        <w:t xml:space="preserve">7  </w:t>
      </w:r>
      <w:r>
        <w:rPr>
          <w:rFonts w:asciiTheme="minorEastAsia" w:hAnsiTheme="minorEastAsia" w:eastAsiaTheme="minorEastAsia"/>
          <w:sz w:val="20"/>
          <w:szCs w:val="20"/>
          <w:highlight w:val="none"/>
          <w:lang w:val="ru-RU"/>
        </w:rPr>
        <w:t xml:space="preserve"> </w:t>
      </w:r>
      <w:r>
        <w:rPr>
          <w:rFonts w:hint="eastAsia" w:asciiTheme="minorEastAsia" w:hAnsiTheme="minorEastAsia" w:eastAsiaTheme="minorEastAsia"/>
          <w:sz w:val="20"/>
          <w:szCs w:val="20"/>
          <w:highlight w:val="none"/>
          <w:lang w:val="en-US" w:eastAsia="zh-CN"/>
        </w:rPr>
        <w:t>2023届毕业生从事不相关专业的原因</w:t>
      </w:r>
    </w:p>
    <w:p>
      <w:pPr>
        <w:pStyle w:val="6"/>
        <w:rPr>
          <w:rFonts w:hint="default"/>
          <w:lang w:val="en-US" w:eastAsia="zh-CN"/>
        </w:rPr>
      </w:pPr>
      <w:r>
        <w:rPr>
          <w:rFonts w:hint="eastAsia" w:eastAsia="宋体"/>
          <w:sz w:val="28"/>
          <w:szCs w:val="28"/>
          <w:lang w:val="ru-RU" w:eastAsia="zh-CN"/>
        </w:rPr>
        <w:drawing>
          <wp:inline distT="0" distB="0" distL="114300" distR="114300">
            <wp:extent cx="4897120" cy="2191385"/>
            <wp:effectExtent l="4445" t="4445" r="13335" b="13970"/>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pStyle w:val="10"/>
        <w:ind w:left="0" w:leftChars="0" w:firstLine="0" w:firstLineChars="0"/>
        <w:rPr>
          <w:rFonts w:hint="eastAsia"/>
          <w:lang w:val="ru-RU" w:eastAsia="zh-CN"/>
        </w:rPr>
      </w:pPr>
    </w:p>
    <w:p>
      <w:pPr>
        <w:numPr>
          <w:ilvl w:val="0"/>
          <w:numId w:val="10"/>
        </w:numPr>
        <w:ind w:left="0" w:leftChars="0" w:firstLine="0" w:firstLineChars="0"/>
        <w:jc w:val="left"/>
        <w:rPr>
          <w:rFonts w:hint="eastAsia"/>
          <w:sz w:val="28"/>
          <w:szCs w:val="28"/>
          <w:lang w:val="en-US" w:eastAsia="zh-CN"/>
        </w:rPr>
      </w:pPr>
      <w:r>
        <w:rPr>
          <w:rFonts w:hint="eastAsia"/>
          <w:sz w:val="28"/>
          <w:szCs w:val="28"/>
          <w:lang w:val="en-US" w:eastAsia="zh-CN"/>
        </w:rPr>
        <w:t>职业期待吻合度</w:t>
      </w:r>
    </w:p>
    <w:p>
      <w:pPr>
        <w:numPr>
          <w:ilvl w:val="0"/>
          <w:numId w:val="0"/>
        </w:numPr>
        <w:ind w:leftChars="0"/>
        <w:jc w:val="left"/>
        <w:rPr>
          <w:rFonts w:hint="eastAsia" w:asciiTheme="minorEastAsia" w:hAnsiTheme="minorEastAsia" w:eastAsiaTheme="minorEastAsia"/>
          <w:sz w:val="20"/>
          <w:szCs w:val="20"/>
          <w:lang w:val="en-US" w:eastAsia="zh-CN"/>
        </w:rPr>
      </w:pPr>
      <w:r>
        <w:rPr>
          <w:rFonts w:hint="eastAsia"/>
          <w:sz w:val="28"/>
          <w:szCs w:val="28"/>
          <w:lang w:val="en-US" w:eastAsia="zh-CN"/>
        </w:rPr>
        <w:t xml:space="preserve">    调研数据显示，毕业生从事工作与其职业期望的总匹配程度为62.27%。其中“非常匹配”占比6.11%，“比较匹配”占比25.24%，“匹配”占比30.92%，“不太匹配”占比29.17%。</w:t>
      </w:r>
    </w:p>
    <w:p>
      <w:pPr>
        <w:ind w:firstLine="400" w:firstLineChars="200"/>
        <w:jc w:val="center"/>
        <w:rPr>
          <w:rFonts w:hint="eastAsia" w:eastAsia="宋体"/>
          <w:sz w:val="28"/>
          <w:szCs w:val="28"/>
          <w:lang w:val="ru-RU" w:eastAsia="zh-CN"/>
        </w:rPr>
      </w:pPr>
      <w:r>
        <w:rPr>
          <w:rFonts w:hint="eastAsia" w:asciiTheme="minorEastAsia" w:hAnsiTheme="minorEastAsia" w:eastAsiaTheme="minorEastAsia"/>
          <w:sz w:val="20"/>
          <w:szCs w:val="20"/>
          <w:lang w:val="en-US" w:eastAsia="zh-CN"/>
        </w:rPr>
        <w:t>图</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3</w:t>
      </w:r>
      <w:r>
        <w:rPr>
          <w:rFonts w:asciiTheme="minorEastAsia" w:hAnsiTheme="minorEastAsia" w:eastAsiaTheme="minorEastAsia"/>
          <w:sz w:val="20"/>
          <w:szCs w:val="20"/>
          <w:lang w:val="ru-RU"/>
        </w:rPr>
        <w:t>-</w:t>
      </w:r>
      <w:r>
        <w:rPr>
          <w:rFonts w:hint="eastAsia" w:asciiTheme="minorEastAsia" w:hAnsiTheme="minorEastAsia" w:eastAsiaTheme="minorEastAsia"/>
          <w:sz w:val="20"/>
          <w:szCs w:val="20"/>
          <w:lang w:val="en-US" w:eastAsia="zh-CN"/>
        </w:rPr>
        <w:t xml:space="preserve">8  </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2023届毕业生职业期待匹配</w:t>
      </w:r>
      <w:r>
        <w:rPr>
          <w:rFonts w:hint="eastAsia" w:eastAsia="宋体"/>
          <w:sz w:val="28"/>
          <w:szCs w:val="28"/>
          <w:lang w:val="ru-RU" w:eastAsia="zh-CN"/>
        </w:rPr>
        <w:drawing>
          <wp:inline distT="0" distB="0" distL="114300" distR="114300">
            <wp:extent cx="5368290" cy="2635250"/>
            <wp:effectExtent l="4445" t="4445" r="18415" b="8255"/>
            <wp:docPr id="34" name="图表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jc w:val="left"/>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注：职业期待匹配度=非常匹配+比较匹配+匹配</w:t>
      </w:r>
    </w:p>
    <w:p>
      <w:pPr>
        <w:pStyle w:val="6"/>
        <w:rPr>
          <w:rFonts w:hint="eastAsia"/>
          <w:lang w:val="ru-RU" w:eastAsia="zh-CN"/>
        </w:rPr>
      </w:pPr>
    </w:p>
    <w:p>
      <w:pPr>
        <w:numPr>
          <w:ilvl w:val="0"/>
          <w:numId w:val="0"/>
        </w:numPr>
        <w:ind w:leftChars="0"/>
        <w:jc w:val="left"/>
        <w:rPr>
          <w:rFonts w:hint="eastAsia"/>
          <w:sz w:val="28"/>
          <w:szCs w:val="28"/>
          <w:lang w:val="en-US" w:eastAsia="zh-CN"/>
        </w:rPr>
      </w:pPr>
      <w:r>
        <w:rPr>
          <w:rFonts w:hint="eastAsia"/>
          <w:sz w:val="28"/>
          <w:szCs w:val="28"/>
          <w:lang w:val="en-US" w:eastAsia="zh-CN"/>
        </w:rPr>
        <w:t>三、就业发展</w:t>
      </w:r>
    </w:p>
    <w:p>
      <w:pPr>
        <w:numPr>
          <w:ilvl w:val="0"/>
          <w:numId w:val="0"/>
        </w:numPr>
        <w:jc w:val="left"/>
        <w:rPr>
          <w:rFonts w:hint="eastAsia"/>
          <w:sz w:val="28"/>
          <w:szCs w:val="28"/>
          <w:lang w:val="en-US" w:eastAsia="zh-CN"/>
        </w:rPr>
      </w:pPr>
      <w:r>
        <w:rPr>
          <w:rFonts w:hint="eastAsia"/>
          <w:sz w:val="28"/>
          <w:szCs w:val="28"/>
          <w:lang w:val="en-US" w:eastAsia="zh-CN"/>
        </w:rPr>
        <w:t>（一）对</w:t>
      </w:r>
      <w:r>
        <w:rPr>
          <w:rFonts w:hint="default"/>
          <w:sz w:val="28"/>
          <w:szCs w:val="28"/>
          <w:lang w:val="en-US" w:eastAsia="zh-CN"/>
        </w:rPr>
        <w:t>用人单位综合满意度</w:t>
      </w:r>
    </w:p>
    <w:p>
      <w:pPr>
        <w:numPr>
          <w:ilvl w:val="0"/>
          <w:numId w:val="0"/>
        </w:numPr>
        <w:ind w:firstLine="560" w:firstLineChars="200"/>
        <w:jc w:val="left"/>
        <w:rPr>
          <w:rFonts w:hint="eastAsia"/>
          <w:sz w:val="28"/>
          <w:szCs w:val="28"/>
          <w:lang w:val="en-US" w:eastAsia="zh-CN"/>
        </w:rPr>
      </w:pPr>
      <w:r>
        <w:rPr>
          <w:rFonts w:hint="eastAsia"/>
          <w:sz w:val="28"/>
          <w:szCs w:val="28"/>
          <w:lang w:val="en-US" w:eastAsia="zh-CN"/>
        </w:rPr>
        <w:t>调研数据显示，</w:t>
      </w:r>
      <w:r>
        <w:rPr>
          <w:rFonts w:hint="default"/>
          <w:sz w:val="28"/>
          <w:szCs w:val="28"/>
          <w:lang w:val="en-US" w:eastAsia="zh-CN"/>
        </w:rPr>
        <w:t>毕业生对用人单位综合满意度为</w:t>
      </w:r>
      <w:r>
        <w:rPr>
          <w:rFonts w:hint="eastAsia"/>
          <w:sz w:val="28"/>
          <w:szCs w:val="28"/>
          <w:lang w:val="en-US" w:eastAsia="zh-CN"/>
        </w:rPr>
        <w:t>76.42</w:t>
      </w:r>
      <w:r>
        <w:rPr>
          <w:rFonts w:hint="default"/>
          <w:sz w:val="28"/>
          <w:szCs w:val="28"/>
          <w:lang w:val="en-US" w:eastAsia="zh-CN"/>
        </w:rPr>
        <w:t>%，其中</w:t>
      </w:r>
      <w:r>
        <w:rPr>
          <w:rFonts w:hint="eastAsia"/>
          <w:sz w:val="28"/>
          <w:szCs w:val="28"/>
          <w:lang w:val="en-US" w:eastAsia="zh-CN"/>
        </w:rPr>
        <w:t>“</w:t>
      </w:r>
      <w:r>
        <w:rPr>
          <w:rFonts w:hint="default"/>
          <w:sz w:val="28"/>
          <w:szCs w:val="28"/>
          <w:lang w:val="en-US" w:eastAsia="zh-CN"/>
        </w:rPr>
        <w:t>非常满意</w:t>
      </w:r>
      <w:r>
        <w:rPr>
          <w:rFonts w:hint="eastAsia"/>
          <w:sz w:val="28"/>
          <w:szCs w:val="28"/>
          <w:lang w:val="en-US" w:eastAsia="zh-CN"/>
        </w:rPr>
        <w:t>”</w:t>
      </w:r>
      <w:r>
        <w:rPr>
          <w:rFonts w:hint="default"/>
          <w:sz w:val="28"/>
          <w:szCs w:val="28"/>
          <w:lang w:val="en-US" w:eastAsia="zh-CN"/>
        </w:rPr>
        <w:t>占比9</w:t>
      </w:r>
      <w:r>
        <w:rPr>
          <w:rFonts w:hint="eastAsia"/>
          <w:sz w:val="28"/>
          <w:szCs w:val="28"/>
          <w:lang w:val="en-US" w:eastAsia="zh-CN"/>
        </w:rPr>
        <w:t>.08</w:t>
      </w:r>
      <w:r>
        <w:rPr>
          <w:rFonts w:hint="default"/>
          <w:sz w:val="28"/>
          <w:szCs w:val="28"/>
          <w:lang w:val="en-US" w:eastAsia="zh-CN"/>
        </w:rPr>
        <w:t>%，</w:t>
      </w:r>
      <w:r>
        <w:rPr>
          <w:rFonts w:hint="eastAsia"/>
          <w:sz w:val="28"/>
          <w:szCs w:val="28"/>
          <w:lang w:val="en-US" w:eastAsia="zh-CN"/>
        </w:rPr>
        <w:t>“</w:t>
      </w:r>
      <w:r>
        <w:rPr>
          <w:rFonts w:hint="default"/>
          <w:sz w:val="28"/>
          <w:szCs w:val="28"/>
          <w:lang w:val="en-US" w:eastAsia="zh-CN"/>
        </w:rPr>
        <w:t>满意</w:t>
      </w:r>
      <w:r>
        <w:rPr>
          <w:rFonts w:hint="eastAsia"/>
          <w:sz w:val="28"/>
          <w:szCs w:val="28"/>
          <w:lang w:val="en-US" w:eastAsia="zh-CN"/>
        </w:rPr>
        <w:t>”</w:t>
      </w:r>
      <w:r>
        <w:rPr>
          <w:rFonts w:hint="default"/>
          <w:sz w:val="28"/>
          <w:szCs w:val="28"/>
          <w:lang w:val="en-US" w:eastAsia="zh-CN"/>
        </w:rPr>
        <w:t>占比</w:t>
      </w:r>
      <w:r>
        <w:rPr>
          <w:rFonts w:hint="eastAsia"/>
          <w:sz w:val="28"/>
          <w:szCs w:val="28"/>
          <w:lang w:val="en-US" w:eastAsia="zh-CN"/>
        </w:rPr>
        <w:t>44.63</w:t>
      </w:r>
      <w:r>
        <w:rPr>
          <w:rFonts w:hint="default"/>
          <w:sz w:val="28"/>
          <w:szCs w:val="28"/>
          <w:lang w:val="en-US" w:eastAsia="zh-CN"/>
        </w:rPr>
        <w:t>%，</w:t>
      </w:r>
      <w:r>
        <w:rPr>
          <w:rFonts w:hint="eastAsia"/>
          <w:sz w:val="28"/>
          <w:szCs w:val="28"/>
          <w:lang w:val="en-US" w:eastAsia="zh-CN"/>
        </w:rPr>
        <w:t>“</w:t>
      </w:r>
      <w:r>
        <w:rPr>
          <w:rFonts w:hint="default"/>
          <w:sz w:val="28"/>
          <w:szCs w:val="28"/>
          <w:lang w:val="en-US" w:eastAsia="zh-CN"/>
        </w:rPr>
        <w:t>比较满意</w:t>
      </w:r>
      <w:r>
        <w:rPr>
          <w:rFonts w:hint="eastAsia"/>
          <w:sz w:val="28"/>
          <w:szCs w:val="28"/>
          <w:lang w:val="en-US" w:eastAsia="zh-CN"/>
        </w:rPr>
        <w:t>”</w:t>
      </w:r>
      <w:r>
        <w:rPr>
          <w:rFonts w:hint="default"/>
          <w:sz w:val="28"/>
          <w:szCs w:val="28"/>
          <w:lang w:val="en-US" w:eastAsia="zh-CN"/>
        </w:rPr>
        <w:t>占比</w:t>
      </w:r>
      <w:r>
        <w:rPr>
          <w:rFonts w:hint="eastAsia"/>
          <w:sz w:val="28"/>
          <w:szCs w:val="28"/>
          <w:lang w:val="en-US" w:eastAsia="zh-CN"/>
        </w:rPr>
        <w:t>22.71</w:t>
      </w:r>
      <w:r>
        <w:rPr>
          <w:rFonts w:hint="default"/>
          <w:sz w:val="28"/>
          <w:szCs w:val="28"/>
          <w:lang w:val="en-US" w:eastAsia="zh-CN"/>
        </w:rPr>
        <w:t>%。</w:t>
      </w:r>
    </w:p>
    <w:p>
      <w:pPr>
        <w:ind w:firstLine="400" w:firstLineChars="200"/>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图</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3</w:t>
      </w:r>
      <w:r>
        <w:rPr>
          <w:rFonts w:asciiTheme="minorEastAsia" w:hAnsiTheme="minorEastAsia" w:eastAsiaTheme="minorEastAsia"/>
          <w:sz w:val="20"/>
          <w:szCs w:val="20"/>
          <w:lang w:val="ru-RU"/>
        </w:rPr>
        <w:t>-</w:t>
      </w:r>
      <w:r>
        <w:rPr>
          <w:rFonts w:hint="eastAsia" w:asciiTheme="minorEastAsia" w:hAnsiTheme="minorEastAsia" w:eastAsiaTheme="minorEastAsia"/>
          <w:sz w:val="20"/>
          <w:szCs w:val="20"/>
          <w:lang w:val="en-US" w:eastAsia="zh-CN"/>
        </w:rPr>
        <w:t xml:space="preserve">9  </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2023届毕业生对</w:t>
      </w:r>
      <w:r>
        <w:rPr>
          <w:rFonts w:hint="default" w:asciiTheme="minorEastAsia" w:hAnsiTheme="minorEastAsia" w:eastAsiaTheme="minorEastAsia"/>
          <w:sz w:val="20"/>
          <w:szCs w:val="20"/>
          <w:lang w:val="en-US" w:eastAsia="zh-CN"/>
        </w:rPr>
        <w:t>用人单位综合满意度</w:t>
      </w:r>
    </w:p>
    <w:p>
      <w:pPr>
        <w:ind w:firstLine="400" w:firstLineChars="200"/>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drawing>
          <wp:inline distT="0" distB="0" distL="114300" distR="114300">
            <wp:extent cx="4196080" cy="2136775"/>
            <wp:effectExtent l="4445" t="4445" r="9525" b="11430"/>
            <wp:docPr id="29" name="图表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jc w:val="left"/>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注：用人单位综合满意度=非常满意+比较满意+满意</w:t>
      </w:r>
    </w:p>
    <w:p>
      <w:pPr>
        <w:pStyle w:val="6"/>
        <w:rPr>
          <w:rFonts w:hint="eastAsia"/>
          <w:lang w:val="en-US" w:eastAsia="zh-CN"/>
        </w:rPr>
      </w:pPr>
    </w:p>
    <w:p>
      <w:pPr>
        <w:numPr>
          <w:ilvl w:val="0"/>
          <w:numId w:val="0"/>
        </w:numPr>
        <w:jc w:val="left"/>
        <w:rPr>
          <w:rFonts w:hint="default"/>
          <w:sz w:val="28"/>
          <w:szCs w:val="28"/>
          <w:lang w:val="en-US" w:eastAsia="zh-CN"/>
        </w:rPr>
      </w:pPr>
      <w:r>
        <w:rPr>
          <w:rFonts w:hint="eastAsia"/>
          <w:sz w:val="28"/>
          <w:szCs w:val="28"/>
          <w:lang w:val="en-US" w:eastAsia="zh-CN"/>
        </w:rPr>
        <w:t>（二）离职情况</w:t>
      </w:r>
    </w:p>
    <w:p>
      <w:pPr>
        <w:numPr>
          <w:ilvl w:val="0"/>
          <w:numId w:val="0"/>
        </w:numPr>
        <w:jc w:val="left"/>
        <w:rPr>
          <w:rFonts w:hint="default"/>
          <w:sz w:val="28"/>
          <w:szCs w:val="28"/>
          <w:highlight w:val="none"/>
          <w:lang w:val="en-US" w:eastAsia="zh-CN"/>
        </w:rPr>
      </w:pPr>
      <w:r>
        <w:rPr>
          <w:rFonts w:hint="eastAsia"/>
          <w:sz w:val="28"/>
          <w:szCs w:val="28"/>
          <w:highlight w:val="none"/>
          <w:lang w:val="en-US" w:eastAsia="zh-CN"/>
        </w:rPr>
        <w:t>1.离职次数</w:t>
      </w:r>
    </w:p>
    <w:p>
      <w:pPr>
        <w:numPr>
          <w:ilvl w:val="0"/>
          <w:numId w:val="0"/>
        </w:numPr>
        <w:ind w:firstLine="560" w:firstLineChars="200"/>
        <w:jc w:val="left"/>
        <w:rPr>
          <w:rFonts w:hint="default"/>
          <w:sz w:val="28"/>
          <w:szCs w:val="28"/>
          <w:lang w:val="en-US" w:eastAsia="zh-CN"/>
        </w:rPr>
      </w:pPr>
      <w:r>
        <w:rPr>
          <w:rFonts w:hint="eastAsia"/>
          <w:sz w:val="28"/>
          <w:szCs w:val="28"/>
          <w:lang w:val="en-US" w:eastAsia="zh-CN"/>
        </w:rPr>
        <w:t>调研数据显示，毕业生从第一次入职至今平均离职次数为1.11次。45.50%的毕业生离职“0次”，28.82%的毕业生离职“1次”。</w:t>
      </w:r>
    </w:p>
    <w:p>
      <w:pPr>
        <w:numPr>
          <w:ilvl w:val="0"/>
          <w:numId w:val="0"/>
        </w:numPr>
        <w:ind w:leftChars="0" w:firstLine="560"/>
        <w:jc w:val="center"/>
        <w:rPr>
          <w:rFonts w:hint="eastAsia"/>
          <w:sz w:val="28"/>
          <w:szCs w:val="28"/>
          <w:lang w:val="en-US" w:eastAsia="zh-CN"/>
        </w:rPr>
      </w:pPr>
      <w:r>
        <w:rPr>
          <w:rFonts w:hint="eastAsia"/>
          <w:sz w:val="28"/>
          <w:szCs w:val="28"/>
          <w:lang w:val="en-US" w:eastAsia="zh-CN"/>
        </w:rPr>
        <w:drawing>
          <wp:inline distT="0" distB="0" distL="114300" distR="114300">
            <wp:extent cx="3852545" cy="2269490"/>
            <wp:effectExtent l="4445" t="4445" r="10160" b="12065"/>
            <wp:docPr id="40" name="图表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ind w:firstLine="400" w:firstLineChars="200"/>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图</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3</w:t>
      </w:r>
      <w:r>
        <w:rPr>
          <w:rFonts w:asciiTheme="minorEastAsia" w:hAnsiTheme="minorEastAsia" w:eastAsiaTheme="minorEastAsia"/>
          <w:sz w:val="20"/>
          <w:szCs w:val="20"/>
          <w:lang w:val="ru-RU"/>
        </w:rPr>
        <w:t>-</w:t>
      </w:r>
      <w:r>
        <w:rPr>
          <w:rFonts w:hint="eastAsia" w:asciiTheme="minorEastAsia" w:hAnsiTheme="minorEastAsia" w:eastAsiaTheme="minorEastAsia"/>
          <w:sz w:val="20"/>
          <w:szCs w:val="20"/>
          <w:lang w:val="en-US" w:eastAsia="zh-CN"/>
        </w:rPr>
        <w:t xml:space="preserve">10  </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2023届毕业生离职次数</w:t>
      </w:r>
    </w:p>
    <w:p>
      <w:pPr>
        <w:pStyle w:val="6"/>
        <w:rPr>
          <w:rFonts w:hint="eastAsia"/>
          <w:lang w:val="en-US" w:eastAsia="zh-CN"/>
        </w:rPr>
      </w:pPr>
    </w:p>
    <w:p>
      <w:pPr>
        <w:numPr>
          <w:ilvl w:val="0"/>
          <w:numId w:val="0"/>
        </w:numPr>
        <w:jc w:val="left"/>
        <w:rPr>
          <w:rFonts w:hint="default"/>
          <w:sz w:val="28"/>
          <w:szCs w:val="28"/>
          <w:highlight w:val="none"/>
          <w:lang w:val="en-US" w:eastAsia="zh-CN"/>
        </w:rPr>
      </w:pPr>
      <w:r>
        <w:rPr>
          <w:rFonts w:hint="eastAsia"/>
          <w:sz w:val="28"/>
          <w:szCs w:val="28"/>
          <w:highlight w:val="none"/>
          <w:lang w:val="en-US" w:eastAsia="zh-CN"/>
        </w:rPr>
        <w:t>2.离职原因</w:t>
      </w:r>
    </w:p>
    <w:p>
      <w:pPr>
        <w:ind w:firstLine="560" w:firstLineChars="200"/>
        <w:rPr>
          <w:rFonts w:hint="eastAsia"/>
          <w:sz w:val="28"/>
          <w:szCs w:val="28"/>
          <w:lang w:val="en-US" w:eastAsia="zh-CN"/>
        </w:rPr>
      </w:pPr>
      <w:r>
        <w:rPr>
          <w:rFonts w:hint="eastAsia"/>
          <w:sz w:val="28"/>
          <w:szCs w:val="28"/>
          <w:lang w:val="en-US" w:eastAsia="zh-CN"/>
        </w:rPr>
        <w:t>调研数据显示，毕业生离职的主要原因为“薪资福利差”（43.43%），其次为“发展空间不大”（36.22%）和“工作压力大”（26.92%）。</w:t>
      </w:r>
    </w:p>
    <w:p>
      <w:pPr>
        <w:ind w:firstLine="400" w:firstLineChars="200"/>
        <w:jc w:val="center"/>
        <w:rPr>
          <w:rFonts w:hint="eastAsia" w:eastAsia="宋体"/>
          <w:sz w:val="28"/>
          <w:szCs w:val="28"/>
          <w:lang w:val="ru-RU" w:eastAsia="zh-CN"/>
        </w:rPr>
      </w:pPr>
      <w:r>
        <w:rPr>
          <w:rFonts w:hint="eastAsia" w:asciiTheme="minorEastAsia" w:hAnsiTheme="minorEastAsia" w:eastAsiaTheme="minorEastAsia"/>
          <w:sz w:val="20"/>
          <w:szCs w:val="20"/>
          <w:lang w:val="en-US" w:eastAsia="zh-CN"/>
        </w:rPr>
        <w:t>图</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3</w:t>
      </w:r>
      <w:r>
        <w:rPr>
          <w:rFonts w:asciiTheme="minorEastAsia" w:hAnsiTheme="minorEastAsia" w:eastAsiaTheme="minorEastAsia"/>
          <w:sz w:val="20"/>
          <w:szCs w:val="20"/>
          <w:lang w:val="ru-RU"/>
        </w:rPr>
        <w:t>-</w:t>
      </w:r>
      <w:r>
        <w:rPr>
          <w:rFonts w:hint="eastAsia" w:asciiTheme="minorEastAsia" w:hAnsiTheme="minorEastAsia" w:eastAsiaTheme="minorEastAsia"/>
          <w:sz w:val="20"/>
          <w:szCs w:val="20"/>
          <w:lang w:val="en-US" w:eastAsia="zh-CN"/>
        </w:rPr>
        <w:t xml:space="preserve">11  </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2023届毕业生离职原因</w:t>
      </w:r>
      <w:r>
        <w:rPr>
          <w:rFonts w:hint="eastAsia"/>
          <w:sz w:val="28"/>
          <w:szCs w:val="28"/>
          <w:lang w:val="en-US" w:eastAsia="zh-CN"/>
        </w:rPr>
        <w:t xml:space="preserve">  </w:t>
      </w:r>
      <w:r>
        <w:rPr>
          <w:rFonts w:hint="eastAsia" w:eastAsia="宋体"/>
          <w:sz w:val="28"/>
          <w:szCs w:val="28"/>
          <w:lang w:val="ru-RU" w:eastAsia="zh-CN"/>
        </w:rPr>
        <w:drawing>
          <wp:inline distT="0" distB="0" distL="114300" distR="114300">
            <wp:extent cx="5778500" cy="2920365"/>
            <wp:effectExtent l="4445" t="4445" r="8255" b="889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pStyle w:val="6"/>
        <w:rPr>
          <w:rFonts w:hint="eastAsia"/>
          <w:lang w:val="en-US" w:eastAsia="zh-CN"/>
        </w:rPr>
      </w:pPr>
    </w:p>
    <w:p>
      <w:pPr>
        <w:numPr>
          <w:ilvl w:val="0"/>
          <w:numId w:val="0"/>
        </w:numPr>
        <w:ind w:leftChars="0"/>
        <w:jc w:val="left"/>
        <w:rPr>
          <w:rFonts w:hint="eastAsia"/>
          <w:sz w:val="28"/>
          <w:szCs w:val="28"/>
          <w:lang w:val="en-US" w:eastAsia="zh-CN"/>
        </w:rPr>
      </w:pPr>
      <w:r>
        <w:rPr>
          <w:rFonts w:hint="eastAsia"/>
          <w:sz w:val="28"/>
          <w:szCs w:val="28"/>
          <w:lang w:val="en-US" w:eastAsia="zh-CN"/>
        </w:rPr>
        <w:t>（三）工作稳定性</w:t>
      </w:r>
    </w:p>
    <w:p>
      <w:pPr>
        <w:numPr>
          <w:ilvl w:val="0"/>
          <w:numId w:val="0"/>
        </w:numPr>
        <w:ind w:firstLine="560" w:firstLineChars="200"/>
        <w:jc w:val="left"/>
        <w:rPr>
          <w:rFonts w:hint="eastAsia" w:asciiTheme="minorEastAsia" w:hAnsiTheme="minorEastAsia" w:eastAsiaTheme="minorEastAsia"/>
          <w:sz w:val="20"/>
          <w:szCs w:val="20"/>
          <w:lang w:val="en-US" w:eastAsia="zh-CN"/>
        </w:rPr>
      </w:pPr>
      <w:r>
        <w:rPr>
          <w:rFonts w:hint="eastAsia"/>
          <w:sz w:val="28"/>
          <w:szCs w:val="28"/>
          <w:lang w:val="en-US" w:eastAsia="zh-CN"/>
        </w:rPr>
        <w:t>调研数据显示，有75.46%的毕业生表示目前工作稳定。其中，“非常稳定”占比9.00%，“比较稳定”占比30.04%，“稳定”占比36.42%。此外，“不太稳定”占比19.91%，“不稳定”占比4.63%。</w:t>
      </w:r>
    </w:p>
    <w:p>
      <w:pPr>
        <w:ind w:firstLine="400" w:firstLineChars="200"/>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图</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3</w:t>
      </w:r>
      <w:r>
        <w:rPr>
          <w:rFonts w:asciiTheme="minorEastAsia" w:hAnsiTheme="minorEastAsia" w:eastAsiaTheme="minorEastAsia"/>
          <w:sz w:val="20"/>
          <w:szCs w:val="20"/>
          <w:lang w:val="ru-RU"/>
        </w:rPr>
        <w:t>-</w:t>
      </w:r>
      <w:r>
        <w:rPr>
          <w:rFonts w:hint="eastAsia" w:asciiTheme="minorEastAsia" w:hAnsiTheme="minorEastAsia" w:eastAsiaTheme="minorEastAsia"/>
          <w:sz w:val="20"/>
          <w:szCs w:val="20"/>
          <w:lang w:val="en-US" w:eastAsia="zh-CN"/>
        </w:rPr>
        <w:t xml:space="preserve">12  </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2023届毕业生工作稳定性</w:t>
      </w:r>
    </w:p>
    <w:p>
      <w:pPr>
        <w:numPr>
          <w:ilvl w:val="0"/>
          <w:numId w:val="0"/>
        </w:numPr>
        <w:jc w:val="left"/>
        <w:rPr>
          <w:rFonts w:hint="default"/>
          <w:sz w:val="28"/>
          <w:szCs w:val="28"/>
          <w:lang w:val="en-US" w:eastAsia="zh-CN"/>
        </w:rPr>
      </w:pPr>
      <w:r>
        <w:rPr>
          <w:rFonts w:hint="default"/>
          <w:sz w:val="28"/>
          <w:szCs w:val="28"/>
          <w:lang w:val="en-US" w:eastAsia="zh-CN"/>
        </w:rPr>
        <w:drawing>
          <wp:inline distT="0" distB="0" distL="114300" distR="114300">
            <wp:extent cx="5143500" cy="2880360"/>
            <wp:effectExtent l="4445" t="4445" r="14605" b="10795"/>
            <wp:docPr id="31" name="图表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jc w:val="left"/>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注：工作稳定度=非常稳定+比较稳定+稳定</w:t>
      </w:r>
    </w:p>
    <w:p>
      <w:pPr>
        <w:jc w:val="left"/>
        <w:rPr>
          <w:rFonts w:hint="default" w:asciiTheme="minorEastAsia" w:hAnsiTheme="minorEastAsia" w:eastAsiaTheme="minorEastAsia"/>
          <w:sz w:val="20"/>
          <w:szCs w:val="20"/>
          <w:lang w:val="en-US" w:eastAsia="zh-CN"/>
        </w:rPr>
      </w:pPr>
    </w:p>
    <w:p>
      <w:pPr>
        <w:numPr>
          <w:ilvl w:val="0"/>
          <w:numId w:val="0"/>
        </w:numPr>
        <w:ind w:leftChars="0"/>
        <w:jc w:val="left"/>
        <w:rPr>
          <w:rFonts w:hint="eastAsia"/>
          <w:sz w:val="28"/>
          <w:szCs w:val="28"/>
          <w:lang w:val="en-US" w:eastAsia="zh-CN"/>
        </w:rPr>
      </w:pPr>
      <w:r>
        <w:rPr>
          <w:rFonts w:hint="eastAsia"/>
          <w:sz w:val="28"/>
          <w:szCs w:val="28"/>
          <w:lang w:val="en-US" w:eastAsia="zh-CN"/>
        </w:rPr>
        <w:t>四、求职行为</w:t>
      </w:r>
    </w:p>
    <w:p>
      <w:pPr>
        <w:numPr>
          <w:ilvl w:val="0"/>
          <w:numId w:val="11"/>
        </w:numPr>
        <w:ind w:leftChars="0"/>
        <w:jc w:val="left"/>
        <w:rPr>
          <w:rFonts w:hint="eastAsia"/>
          <w:sz w:val="28"/>
          <w:szCs w:val="28"/>
          <w:lang w:val="en-US" w:eastAsia="zh-CN"/>
        </w:rPr>
      </w:pPr>
      <w:r>
        <w:rPr>
          <w:rFonts w:hint="eastAsia"/>
          <w:sz w:val="28"/>
          <w:szCs w:val="28"/>
          <w:lang w:val="en-US" w:eastAsia="zh-CN"/>
        </w:rPr>
        <w:t>求职途径</w:t>
      </w:r>
    </w:p>
    <w:p>
      <w:pPr>
        <w:numPr>
          <w:ilvl w:val="0"/>
          <w:numId w:val="0"/>
        </w:numPr>
        <w:ind w:firstLine="560" w:firstLineChars="200"/>
        <w:jc w:val="left"/>
        <w:rPr>
          <w:rFonts w:hint="default" w:eastAsia="宋体"/>
          <w:sz w:val="28"/>
          <w:szCs w:val="28"/>
          <w:lang w:val="en-US" w:eastAsia="zh-CN"/>
        </w:rPr>
      </w:pPr>
      <w:r>
        <w:rPr>
          <w:rFonts w:hint="eastAsia"/>
          <w:sz w:val="28"/>
          <w:szCs w:val="28"/>
          <w:lang w:val="en-US" w:eastAsia="zh-CN"/>
        </w:rPr>
        <w:t>调研数据显示，毕业生获得当前工作的主要途径为“各类招聘网站”（34.59%），其次为“家庭亲友推荐”（24.80%）、“用人单位内部招聘渠道”（8.73%）。</w:t>
      </w:r>
    </w:p>
    <w:p>
      <w:pPr>
        <w:ind w:firstLine="400" w:firstLineChars="200"/>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图</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3</w:t>
      </w:r>
      <w:r>
        <w:rPr>
          <w:rFonts w:asciiTheme="minorEastAsia" w:hAnsiTheme="minorEastAsia" w:eastAsiaTheme="minorEastAsia"/>
          <w:sz w:val="20"/>
          <w:szCs w:val="20"/>
          <w:lang w:val="ru-RU"/>
        </w:rPr>
        <w:t>-</w:t>
      </w:r>
      <w:r>
        <w:rPr>
          <w:rFonts w:hint="eastAsia" w:asciiTheme="minorEastAsia" w:hAnsiTheme="minorEastAsia" w:eastAsiaTheme="minorEastAsia"/>
          <w:sz w:val="20"/>
          <w:szCs w:val="20"/>
          <w:lang w:val="en-US" w:eastAsia="zh-CN"/>
        </w:rPr>
        <w:t xml:space="preserve">13  </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2023届毕业生获得当前工作途径</w:t>
      </w:r>
    </w:p>
    <w:p>
      <w:pPr>
        <w:ind w:firstLine="560" w:firstLineChars="200"/>
        <w:jc w:val="left"/>
        <w:rPr>
          <w:rFonts w:hint="eastAsia" w:eastAsia="宋体"/>
          <w:sz w:val="28"/>
          <w:szCs w:val="28"/>
          <w:lang w:val="ru-RU" w:eastAsia="zh-CN"/>
        </w:rPr>
      </w:pPr>
      <w:r>
        <w:rPr>
          <w:rFonts w:hint="eastAsia" w:eastAsia="宋体"/>
          <w:sz w:val="28"/>
          <w:szCs w:val="28"/>
          <w:lang w:val="ru-RU" w:eastAsia="zh-CN"/>
        </w:rPr>
        <w:drawing>
          <wp:inline distT="0" distB="0" distL="114300" distR="114300">
            <wp:extent cx="5196205" cy="2125980"/>
            <wp:effectExtent l="4445" t="4445" r="19050" b="22225"/>
            <wp:docPr id="36" name="图表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pStyle w:val="6"/>
        <w:rPr>
          <w:rFonts w:hint="eastAsia"/>
          <w:lang w:val="ru-RU" w:eastAsia="zh-CN"/>
        </w:rPr>
      </w:pPr>
    </w:p>
    <w:p>
      <w:pPr>
        <w:numPr>
          <w:ilvl w:val="0"/>
          <w:numId w:val="0"/>
        </w:numPr>
        <w:jc w:val="left"/>
        <w:rPr>
          <w:rFonts w:hint="default"/>
          <w:sz w:val="28"/>
          <w:szCs w:val="28"/>
          <w:highlight w:val="none"/>
          <w:lang w:val="en-US" w:eastAsia="zh-CN"/>
        </w:rPr>
      </w:pPr>
      <w:r>
        <w:rPr>
          <w:rFonts w:hint="eastAsia"/>
          <w:sz w:val="28"/>
          <w:szCs w:val="28"/>
          <w:highlight w:val="none"/>
          <w:lang w:val="en-US" w:eastAsia="zh-CN"/>
        </w:rPr>
        <w:t>（二）疫情常态化对就业的影响</w:t>
      </w:r>
    </w:p>
    <w:p>
      <w:pPr>
        <w:ind w:firstLine="560" w:firstLineChars="200"/>
        <w:rPr>
          <w:rFonts w:hint="default"/>
          <w:lang w:val="en-US" w:eastAsia="zh-CN"/>
        </w:rPr>
      </w:pPr>
      <w:r>
        <w:rPr>
          <w:rFonts w:hint="eastAsia"/>
          <w:sz w:val="28"/>
          <w:szCs w:val="28"/>
          <w:lang w:val="en-US" w:eastAsia="zh-CN"/>
        </w:rPr>
        <w:t>调研数据显示，79.99%的毕业生认为疫情常态化对其就业有影响。</w:t>
      </w:r>
    </w:p>
    <w:p>
      <w:pPr>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图</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3</w:t>
      </w:r>
      <w:r>
        <w:rPr>
          <w:rFonts w:asciiTheme="minorEastAsia" w:hAnsiTheme="minorEastAsia" w:eastAsiaTheme="minorEastAsia"/>
          <w:sz w:val="20"/>
          <w:szCs w:val="20"/>
          <w:lang w:val="ru-RU"/>
        </w:rPr>
        <w:t>-</w:t>
      </w:r>
      <w:r>
        <w:rPr>
          <w:rFonts w:hint="eastAsia" w:asciiTheme="minorEastAsia" w:hAnsiTheme="minorEastAsia" w:eastAsiaTheme="minorEastAsia"/>
          <w:sz w:val="20"/>
          <w:szCs w:val="20"/>
          <w:lang w:val="en-US" w:eastAsia="zh-CN"/>
        </w:rPr>
        <w:t xml:space="preserve">14  </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 xml:space="preserve">疫情常态化对2023届毕业生就业的影响  </w:t>
      </w:r>
      <w:r>
        <w:rPr>
          <w:rFonts w:hint="eastAsia" w:asciiTheme="minorEastAsia" w:hAnsiTheme="minorEastAsia" w:eastAsiaTheme="minorEastAsia"/>
          <w:sz w:val="20"/>
          <w:szCs w:val="20"/>
          <w:lang w:val="en-US" w:eastAsia="zh-CN"/>
        </w:rPr>
        <w:drawing>
          <wp:inline distT="0" distB="0" distL="114300" distR="114300">
            <wp:extent cx="3296285" cy="2360295"/>
            <wp:effectExtent l="4445" t="4445" r="13970" b="1651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pStyle w:val="6"/>
        <w:rPr>
          <w:rFonts w:hint="eastAsia"/>
          <w:lang w:val="en-US" w:eastAsia="zh-CN"/>
        </w:rPr>
      </w:pPr>
    </w:p>
    <w:p>
      <w:pPr>
        <w:numPr>
          <w:ilvl w:val="0"/>
          <w:numId w:val="0"/>
        </w:numPr>
        <w:ind w:leftChars="0"/>
        <w:jc w:val="left"/>
        <w:rPr>
          <w:rFonts w:hint="default"/>
          <w:sz w:val="28"/>
          <w:szCs w:val="28"/>
          <w:lang w:val="en-US" w:eastAsia="zh-CN"/>
        </w:rPr>
      </w:pPr>
      <w:r>
        <w:rPr>
          <w:rFonts w:hint="eastAsia"/>
          <w:sz w:val="28"/>
          <w:szCs w:val="28"/>
          <w:lang w:val="en-US" w:eastAsia="zh-CN"/>
        </w:rPr>
        <w:t>（三）获得当前工作时间</w:t>
      </w:r>
    </w:p>
    <w:p>
      <w:pPr>
        <w:numPr>
          <w:ilvl w:val="0"/>
          <w:numId w:val="0"/>
        </w:numPr>
        <w:ind w:leftChars="0"/>
        <w:jc w:val="left"/>
        <w:rPr>
          <w:rFonts w:hint="default"/>
          <w:sz w:val="28"/>
          <w:szCs w:val="28"/>
          <w:lang w:val="en-US" w:eastAsia="zh-CN"/>
        </w:rPr>
      </w:pPr>
      <w:r>
        <w:rPr>
          <w:rFonts w:hint="eastAsia"/>
          <w:sz w:val="28"/>
          <w:szCs w:val="28"/>
          <w:lang w:val="en-US" w:eastAsia="zh-CN"/>
        </w:rPr>
        <w:t xml:space="preserve">    调研数据显示，毕业生获得当前工作的时间主要集中在“毕业季”（35.28%），其次为“其他”（31.70%）、“春季校招期间”（16.86%）。</w:t>
      </w:r>
    </w:p>
    <w:p>
      <w:pPr>
        <w:numPr>
          <w:ilvl w:val="0"/>
          <w:numId w:val="0"/>
        </w:numPr>
        <w:ind w:leftChars="0"/>
        <w:jc w:val="left"/>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drawing>
          <wp:inline distT="0" distB="0" distL="114300" distR="114300">
            <wp:extent cx="5132705" cy="2574290"/>
            <wp:effectExtent l="4445" t="4445" r="6350" b="1206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pPr>
        <w:ind w:firstLine="400" w:firstLineChars="200"/>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图</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3</w:t>
      </w:r>
      <w:r>
        <w:rPr>
          <w:rFonts w:asciiTheme="minorEastAsia" w:hAnsiTheme="minorEastAsia" w:eastAsiaTheme="minorEastAsia"/>
          <w:sz w:val="20"/>
          <w:szCs w:val="20"/>
          <w:lang w:val="ru-RU"/>
        </w:rPr>
        <w:t>-</w:t>
      </w:r>
      <w:r>
        <w:rPr>
          <w:rFonts w:hint="eastAsia" w:asciiTheme="minorEastAsia" w:hAnsiTheme="minorEastAsia" w:eastAsiaTheme="minorEastAsia"/>
          <w:sz w:val="20"/>
          <w:szCs w:val="20"/>
          <w:lang w:val="en-US" w:eastAsia="zh-CN"/>
        </w:rPr>
        <w:t xml:space="preserve">15  </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2023届毕业生获得当前工作时间</w:t>
      </w:r>
    </w:p>
    <w:p>
      <w:pPr>
        <w:pStyle w:val="6"/>
        <w:rPr>
          <w:rFonts w:hint="eastAsia"/>
          <w:lang w:val="en-US" w:eastAsia="zh-CN"/>
        </w:rPr>
      </w:pPr>
    </w:p>
    <w:p>
      <w:pPr>
        <w:numPr>
          <w:ilvl w:val="0"/>
          <w:numId w:val="0"/>
        </w:numPr>
        <w:ind w:leftChars="0"/>
        <w:jc w:val="left"/>
        <w:rPr>
          <w:rFonts w:hint="eastAsia"/>
          <w:sz w:val="28"/>
          <w:szCs w:val="28"/>
          <w:lang w:val="en-US" w:eastAsia="zh-CN"/>
        </w:rPr>
      </w:pPr>
      <w:r>
        <w:rPr>
          <w:rFonts w:hint="eastAsia"/>
          <w:sz w:val="28"/>
          <w:szCs w:val="28"/>
          <w:lang w:val="en-US" w:eastAsia="zh-CN"/>
        </w:rPr>
        <w:t>（四）求职成功所用时间</w:t>
      </w:r>
    </w:p>
    <w:p>
      <w:pPr>
        <w:numPr>
          <w:ilvl w:val="0"/>
          <w:numId w:val="0"/>
        </w:numPr>
        <w:ind w:leftChars="0" w:firstLine="560"/>
        <w:jc w:val="left"/>
        <w:rPr>
          <w:rFonts w:hint="eastAsia"/>
          <w:sz w:val="28"/>
          <w:szCs w:val="28"/>
          <w:lang w:val="en-US" w:eastAsia="zh-CN"/>
        </w:rPr>
      </w:pPr>
      <w:r>
        <w:rPr>
          <w:rFonts w:hint="eastAsia"/>
          <w:sz w:val="28"/>
          <w:szCs w:val="28"/>
          <w:lang w:val="en-US" w:eastAsia="zh-CN"/>
        </w:rPr>
        <w:t>调研数据显示，毕业生成功就职所用时间主要集中在“1个月以内”（48.91%），其次为“1-3个月”（30.92%）、“4-6个月”（10.22%）。总体来看，毕业生求职成功用时较短，90.05%的毕业生能在半年内求职成功。</w:t>
      </w:r>
    </w:p>
    <w:p>
      <w:pPr>
        <w:numPr>
          <w:ilvl w:val="0"/>
          <w:numId w:val="0"/>
        </w:numPr>
        <w:ind w:leftChars="0" w:firstLine="560"/>
        <w:jc w:val="left"/>
        <w:rPr>
          <w:rFonts w:hint="eastAsia"/>
          <w:sz w:val="28"/>
          <w:szCs w:val="28"/>
          <w:lang w:val="en-US" w:eastAsia="zh-CN"/>
        </w:rPr>
      </w:pPr>
      <w:r>
        <w:rPr>
          <w:rFonts w:hint="eastAsia"/>
          <w:sz w:val="28"/>
          <w:szCs w:val="28"/>
          <w:lang w:val="en-US" w:eastAsia="zh-CN"/>
        </w:rPr>
        <w:t xml:space="preserve">    </w:t>
      </w:r>
      <w:r>
        <w:rPr>
          <w:rFonts w:hint="eastAsia"/>
          <w:sz w:val="28"/>
          <w:szCs w:val="28"/>
          <w:lang w:val="en-US" w:eastAsia="zh-CN"/>
        </w:rPr>
        <w:drawing>
          <wp:inline distT="0" distB="0" distL="114300" distR="114300">
            <wp:extent cx="4072255" cy="2082800"/>
            <wp:effectExtent l="4445" t="4445" r="19050" b="8255"/>
            <wp:docPr id="30" name="图表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pPr>
        <w:ind w:firstLine="400" w:firstLineChars="200"/>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图</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3</w:t>
      </w:r>
      <w:r>
        <w:rPr>
          <w:rFonts w:asciiTheme="minorEastAsia" w:hAnsiTheme="minorEastAsia" w:eastAsiaTheme="minorEastAsia"/>
          <w:sz w:val="20"/>
          <w:szCs w:val="20"/>
          <w:lang w:val="ru-RU"/>
        </w:rPr>
        <w:t>-</w:t>
      </w:r>
      <w:r>
        <w:rPr>
          <w:rFonts w:hint="eastAsia" w:asciiTheme="minorEastAsia" w:hAnsiTheme="minorEastAsia" w:eastAsiaTheme="minorEastAsia"/>
          <w:sz w:val="20"/>
          <w:szCs w:val="20"/>
          <w:lang w:val="en-US" w:eastAsia="zh-CN"/>
        </w:rPr>
        <w:t xml:space="preserve">16  </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2023届毕业生求职成功所用时间</w:t>
      </w:r>
    </w:p>
    <w:p>
      <w:pPr>
        <w:pStyle w:val="6"/>
        <w:rPr>
          <w:rFonts w:hint="eastAsia"/>
          <w:lang w:val="ru-RU" w:eastAsia="zh-CN"/>
        </w:rPr>
      </w:pPr>
    </w:p>
    <w:p>
      <w:pPr>
        <w:numPr>
          <w:ilvl w:val="0"/>
          <w:numId w:val="0"/>
        </w:numPr>
        <w:ind w:leftChars="0"/>
        <w:jc w:val="left"/>
        <w:rPr>
          <w:rFonts w:hint="eastAsia"/>
          <w:sz w:val="28"/>
          <w:szCs w:val="28"/>
          <w:lang w:val="en-US" w:eastAsia="zh-CN"/>
        </w:rPr>
      </w:pPr>
      <w:r>
        <w:rPr>
          <w:rFonts w:hint="eastAsia"/>
          <w:sz w:val="28"/>
          <w:szCs w:val="28"/>
          <w:lang w:val="en-US" w:eastAsia="zh-CN"/>
        </w:rPr>
        <w:t>（五）获得工作机会数量</w:t>
      </w:r>
    </w:p>
    <w:p>
      <w:pPr>
        <w:numPr>
          <w:ilvl w:val="0"/>
          <w:numId w:val="0"/>
        </w:numPr>
        <w:ind w:firstLine="560" w:firstLineChars="200"/>
        <w:jc w:val="left"/>
        <w:rPr>
          <w:rFonts w:hint="eastAsia"/>
          <w:sz w:val="28"/>
          <w:szCs w:val="28"/>
          <w:lang w:val="en-US" w:eastAsia="zh-CN"/>
        </w:rPr>
      </w:pPr>
      <w:r>
        <w:rPr>
          <w:rFonts w:hint="eastAsia"/>
          <w:sz w:val="28"/>
          <w:szCs w:val="28"/>
          <w:lang w:val="en-US" w:eastAsia="zh-CN"/>
        </w:rPr>
        <w:t>调研数据显示，毕业生求职过程中平均获得工作岗位为2.64个。28.73%的毕业生获得“2个”工作机会，24.54%的毕业生获得了“3个”工作机会。</w:t>
      </w:r>
    </w:p>
    <w:p>
      <w:pPr>
        <w:numPr>
          <w:ilvl w:val="0"/>
          <w:numId w:val="0"/>
        </w:numPr>
        <w:ind w:leftChars="0" w:firstLine="560"/>
        <w:jc w:val="left"/>
        <w:rPr>
          <w:rFonts w:hint="eastAsia"/>
          <w:sz w:val="28"/>
          <w:szCs w:val="28"/>
          <w:lang w:val="en-US" w:eastAsia="zh-CN"/>
        </w:rPr>
      </w:pPr>
      <w:r>
        <w:rPr>
          <w:rFonts w:hint="eastAsia"/>
          <w:sz w:val="28"/>
          <w:szCs w:val="28"/>
          <w:lang w:val="en-US" w:eastAsia="zh-CN"/>
        </w:rPr>
        <w:t xml:space="preserve">     </w:t>
      </w:r>
      <w:r>
        <w:rPr>
          <w:rFonts w:hint="eastAsia"/>
          <w:sz w:val="28"/>
          <w:szCs w:val="28"/>
          <w:lang w:val="en-US" w:eastAsia="zh-CN"/>
        </w:rPr>
        <w:drawing>
          <wp:inline distT="0" distB="0" distL="114300" distR="114300">
            <wp:extent cx="3852545" cy="2269490"/>
            <wp:effectExtent l="4445" t="4445" r="10160" b="12065"/>
            <wp:docPr id="66" name="图表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pPr>
        <w:ind w:firstLine="400" w:firstLineChars="200"/>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图</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3</w:t>
      </w:r>
      <w:r>
        <w:rPr>
          <w:rFonts w:asciiTheme="minorEastAsia" w:hAnsiTheme="minorEastAsia" w:eastAsiaTheme="minorEastAsia"/>
          <w:sz w:val="20"/>
          <w:szCs w:val="20"/>
          <w:lang w:val="ru-RU"/>
        </w:rPr>
        <w:t>-</w:t>
      </w:r>
      <w:r>
        <w:rPr>
          <w:rFonts w:hint="eastAsia" w:asciiTheme="minorEastAsia" w:hAnsiTheme="minorEastAsia" w:eastAsiaTheme="minorEastAsia"/>
          <w:sz w:val="20"/>
          <w:szCs w:val="20"/>
          <w:lang w:val="en-US" w:eastAsia="zh-CN"/>
        </w:rPr>
        <w:t xml:space="preserve">17  </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2023届毕业生获得工作机会数量</w:t>
      </w:r>
    </w:p>
    <w:p>
      <w:pPr>
        <w:pStyle w:val="6"/>
        <w:rPr>
          <w:rFonts w:hint="default"/>
          <w:lang w:val="en-US" w:eastAsia="zh-CN"/>
        </w:rPr>
      </w:pPr>
    </w:p>
    <w:p>
      <w:pPr>
        <w:numPr>
          <w:ilvl w:val="0"/>
          <w:numId w:val="0"/>
        </w:numPr>
        <w:ind w:leftChars="0"/>
        <w:jc w:val="left"/>
        <w:rPr>
          <w:rFonts w:hint="default"/>
          <w:sz w:val="28"/>
          <w:szCs w:val="28"/>
          <w:lang w:val="en-US" w:eastAsia="zh-CN"/>
        </w:rPr>
      </w:pPr>
      <w:r>
        <w:rPr>
          <w:rFonts w:hint="eastAsia"/>
          <w:sz w:val="28"/>
          <w:szCs w:val="28"/>
          <w:lang w:val="en-US" w:eastAsia="zh-CN"/>
        </w:rPr>
        <w:t>（六）求职时的短板</w:t>
      </w:r>
    </w:p>
    <w:p>
      <w:pPr>
        <w:numPr>
          <w:ilvl w:val="0"/>
          <w:numId w:val="0"/>
        </w:numPr>
        <w:ind w:firstLine="560" w:firstLineChars="200"/>
        <w:jc w:val="left"/>
        <w:rPr>
          <w:rFonts w:hint="default"/>
          <w:sz w:val="28"/>
          <w:szCs w:val="28"/>
          <w:lang w:val="en-US" w:eastAsia="zh-CN"/>
        </w:rPr>
      </w:pPr>
      <w:r>
        <w:rPr>
          <w:rFonts w:hint="eastAsia"/>
          <w:sz w:val="28"/>
          <w:szCs w:val="28"/>
          <w:lang w:val="en-US" w:eastAsia="zh-CN"/>
        </w:rPr>
        <w:t>调研数据显示，在求职就业过程中，毕业生认为自身主要短板为“沟通协调能力”（38.93%），其次为“专业知识和技能”（38.66%）、“对社会的了解”（30.93%）。这说明，学校除了应加强专业知识和技能的培养，还应在开展就业指导课程时注重对学生相关方面能力的提升。</w:t>
      </w:r>
    </w:p>
    <w:p>
      <w:pPr>
        <w:numPr>
          <w:ilvl w:val="0"/>
          <w:numId w:val="0"/>
        </w:numPr>
        <w:jc w:val="left"/>
        <w:rPr>
          <w:rFonts w:hint="eastAsia"/>
          <w:sz w:val="28"/>
          <w:szCs w:val="28"/>
          <w:lang w:val="en-US" w:eastAsia="zh-CN"/>
        </w:rPr>
      </w:pPr>
      <w:r>
        <w:rPr>
          <w:rFonts w:hint="eastAsia"/>
          <w:sz w:val="28"/>
          <w:szCs w:val="28"/>
          <w:lang w:val="en-US" w:eastAsia="zh-CN"/>
        </w:rPr>
        <w:drawing>
          <wp:inline distT="0" distB="0" distL="114300" distR="114300">
            <wp:extent cx="5678805" cy="2469515"/>
            <wp:effectExtent l="4445" t="4445" r="12700" b="21590"/>
            <wp:docPr id="83" name="图表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pPr>
        <w:ind w:firstLine="400" w:firstLineChars="200"/>
        <w:jc w:val="center"/>
        <w:rPr>
          <w:rFonts w:hint="eastAsia"/>
          <w:sz w:val="36"/>
          <w:szCs w:val="36"/>
          <w:lang w:val="en-US" w:eastAsia="zh-CN"/>
        </w:rPr>
      </w:pPr>
      <w:r>
        <w:rPr>
          <w:rFonts w:hint="eastAsia" w:asciiTheme="minorEastAsia" w:hAnsiTheme="minorEastAsia" w:eastAsiaTheme="minorEastAsia"/>
          <w:sz w:val="20"/>
          <w:szCs w:val="20"/>
          <w:lang w:val="en-US" w:eastAsia="zh-CN"/>
        </w:rPr>
        <w:t>图</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3</w:t>
      </w:r>
      <w:r>
        <w:rPr>
          <w:rFonts w:asciiTheme="minorEastAsia" w:hAnsiTheme="minorEastAsia" w:eastAsiaTheme="minorEastAsia"/>
          <w:sz w:val="20"/>
          <w:szCs w:val="20"/>
          <w:lang w:val="ru-RU"/>
        </w:rPr>
        <w:t>-</w:t>
      </w:r>
      <w:r>
        <w:rPr>
          <w:rFonts w:hint="eastAsia" w:asciiTheme="minorEastAsia" w:hAnsiTheme="minorEastAsia" w:eastAsiaTheme="minorEastAsia"/>
          <w:sz w:val="20"/>
          <w:szCs w:val="20"/>
          <w:lang w:val="en-US" w:eastAsia="zh-CN"/>
        </w:rPr>
        <w:t xml:space="preserve">18  </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2023届毕业生求职时的短板（多选）</w:t>
      </w:r>
    </w:p>
    <w:p>
      <w:pPr>
        <w:ind w:firstLine="720" w:firstLineChars="200"/>
        <w:jc w:val="center"/>
        <w:rPr>
          <w:rFonts w:hint="eastAsia"/>
          <w:sz w:val="36"/>
          <w:szCs w:val="36"/>
          <w:lang w:val="en-US" w:eastAsia="zh-CN"/>
        </w:rPr>
      </w:pPr>
    </w:p>
    <w:p>
      <w:pPr>
        <w:ind w:firstLine="720" w:firstLineChars="200"/>
        <w:jc w:val="center"/>
        <w:rPr>
          <w:rFonts w:hint="eastAsia"/>
          <w:sz w:val="36"/>
          <w:szCs w:val="36"/>
          <w:lang w:val="en-US" w:eastAsia="zh-CN"/>
        </w:rPr>
      </w:pPr>
    </w:p>
    <w:p>
      <w:pPr>
        <w:ind w:firstLine="720" w:firstLineChars="200"/>
        <w:jc w:val="center"/>
        <w:rPr>
          <w:rFonts w:hint="eastAsia"/>
          <w:sz w:val="36"/>
          <w:szCs w:val="36"/>
          <w:lang w:val="en-US" w:eastAsia="zh-CN"/>
        </w:rPr>
      </w:pPr>
    </w:p>
    <w:p>
      <w:pPr>
        <w:ind w:firstLine="720" w:firstLineChars="200"/>
        <w:jc w:val="center"/>
        <w:rPr>
          <w:rFonts w:hint="eastAsia"/>
          <w:sz w:val="36"/>
          <w:szCs w:val="36"/>
          <w:lang w:val="en-US" w:eastAsia="zh-CN"/>
        </w:rPr>
      </w:pPr>
    </w:p>
    <w:p>
      <w:pPr>
        <w:ind w:firstLine="720" w:firstLineChars="200"/>
        <w:jc w:val="center"/>
        <w:rPr>
          <w:rFonts w:hint="eastAsia"/>
          <w:sz w:val="36"/>
          <w:szCs w:val="36"/>
          <w:lang w:val="en-US" w:eastAsia="zh-CN"/>
        </w:rPr>
      </w:pPr>
    </w:p>
    <w:p>
      <w:pPr>
        <w:ind w:firstLine="720" w:firstLineChars="200"/>
        <w:jc w:val="center"/>
        <w:rPr>
          <w:rFonts w:hint="eastAsia"/>
          <w:sz w:val="36"/>
          <w:szCs w:val="36"/>
          <w:lang w:val="en-US" w:eastAsia="zh-CN"/>
        </w:rPr>
      </w:pPr>
    </w:p>
    <w:p>
      <w:pPr>
        <w:ind w:firstLine="720" w:firstLineChars="200"/>
        <w:jc w:val="center"/>
        <w:rPr>
          <w:rFonts w:hint="eastAsia"/>
          <w:sz w:val="36"/>
          <w:szCs w:val="36"/>
          <w:lang w:val="en-US" w:eastAsia="zh-CN"/>
        </w:rPr>
      </w:pPr>
    </w:p>
    <w:p>
      <w:pPr>
        <w:jc w:val="both"/>
        <w:rPr>
          <w:rFonts w:hint="eastAsia"/>
          <w:sz w:val="36"/>
          <w:szCs w:val="36"/>
          <w:lang w:val="en-US" w:eastAsia="zh-CN"/>
        </w:rPr>
      </w:pPr>
    </w:p>
    <w:p>
      <w:pPr>
        <w:pStyle w:val="6"/>
        <w:rPr>
          <w:rFonts w:hint="eastAsia"/>
          <w:sz w:val="36"/>
          <w:szCs w:val="36"/>
          <w:lang w:val="en-US" w:eastAsia="zh-CN"/>
        </w:rPr>
      </w:pPr>
    </w:p>
    <w:p>
      <w:pPr>
        <w:pStyle w:val="2"/>
        <w:rPr>
          <w:rFonts w:hint="eastAsia"/>
          <w:sz w:val="36"/>
          <w:szCs w:val="36"/>
          <w:lang w:val="en-US" w:eastAsia="zh-CN"/>
        </w:rPr>
      </w:pPr>
    </w:p>
    <w:p>
      <w:pPr>
        <w:pStyle w:val="10"/>
        <w:ind w:left="0" w:leftChars="0" w:firstLine="0" w:firstLineChars="0"/>
        <w:rPr>
          <w:rFonts w:hint="eastAsia"/>
          <w:lang w:val="en-US" w:eastAsia="zh-CN"/>
        </w:rPr>
      </w:pPr>
    </w:p>
    <w:p>
      <w:pPr>
        <w:rPr>
          <w:rFonts w:hint="eastAsia"/>
          <w:lang w:val="en-US" w:eastAsia="zh-CN"/>
        </w:rPr>
      </w:pPr>
    </w:p>
    <w:p>
      <w:pPr>
        <w:pStyle w:val="6"/>
        <w:rPr>
          <w:rFonts w:hint="eastAsia"/>
          <w:lang w:val="en-US" w:eastAsia="zh-CN"/>
        </w:rPr>
      </w:pPr>
    </w:p>
    <w:p>
      <w:pPr>
        <w:jc w:val="center"/>
        <w:rPr>
          <w:rFonts w:hint="default"/>
          <w:sz w:val="28"/>
          <w:szCs w:val="28"/>
          <w:lang w:val="en-US"/>
        </w:rPr>
      </w:pPr>
      <w:r>
        <w:rPr>
          <w:rFonts w:hint="eastAsia"/>
          <w:sz w:val="36"/>
          <w:szCs w:val="36"/>
          <w:lang w:val="en-US" w:eastAsia="zh-CN"/>
        </w:rPr>
        <w:t>第四章 毕业生升学情况</w:t>
      </w:r>
    </w:p>
    <w:p>
      <w:pPr>
        <w:ind w:firstLine="560" w:firstLineChars="200"/>
        <w:jc w:val="left"/>
        <w:rPr>
          <w:rFonts w:hint="eastAsia"/>
          <w:sz w:val="28"/>
          <w:szCs w:val="28"/>
          <w:lang w:val="en-US" w:eastAsia="zh-CN"/>
        </w:rPr>
      </w:pPr>
      <w:r>
        <w:rPr>
          <w:rFonts w:hint="eastAsia"/>
          <w:sz w:val="28"/>
          <w:szCs w:val="28"/>
          <w:lang w:val="en-US" w:eastAsia="zh-CN"/>
        </w:rPr>
        <w:t>2023届毕业生升学124人，升学率3.08%。</w:t>
      </w:r>
    </w:p>
    <w:p>
      <w:pPr>
        <w:numPr>
          <w:ilvl w:val="0"/>
          <w:numId w:val="12"/>
        </w:numPr>
        <w:jc w:val="left"/>
        <w:rPr>
          <w:rFonts w:hint="eastAsia"/>
          <w:sz w:val="28"/>
          <w:szCs w:val="28"/>
          <w:lang w:val="en-US" w:eastAsia="zh-CN"/>
        </w:rPr>
      </w:pPr>
      <w:r>
        <w:rPr>
          <w:rFonts w:hint="eastAsia"/>
          <w:sz w:val="28"/>
          <w:szCs w:val="28"/>
          <w:lang w:val="en-US" w:eastAsia="zh-CN"/>
        </w:rPr>
        <w:t>升学情况</w:t>
      </w:r>
    </w:p>
    <w:p>
      <w:pPr>
        <w:numPr>
          <w:ilvl w:val="0"/>
          <w:numId w:val="0"/>
        </w:numPr>
        <w:ind w:firstLine="560"/>
        <w:jc w:val="left"/>
        <w:rPr>
          <w:rFonts w:hint="default"/>
          <w:lang w:val="en-US" w:eastAsia="zh-CN"/>
        </w:rPr>
      </w:pPr>
      <w:r>
        <w:rPr>
          <w:rFonts w:hint="eastAsia"/>
          <w:sz w:val="28"/>
          <w:szCs w:val="28"/>
          <w:lang w:val="en-US" w:eastAsia="zh-CN"/>
        </w:rPr>
        <w:t>2023届毕业生升学124人，升学率3.08%。</w:t>
      </w:r>
      <w:r>
        <w:rPr>
          <w:rFonts w:hint="eastAsia"/>
          <w:color w:val="auto"/>
          <w:sz w:val="28"/>
          <w:szCs w:val="28"/>
          <w:lang w:val="en-US" w:eastAsia="zh-CN"/>
        </w:rPr>
        <w:t>升学率排名前三的二</w:t>
      </w:r>
      <w:r>
        <w:rPr>
          <w:rFonts w:hint="eastAsia"/>
          <w:sz w:val="28"/>
          <w:szCs w:val="28"/>
          <w:lang w:val="en-US" w:eastAsia="zh-CN"/>
        </w:rPr>
        <w:t>级学院为：财会工商学院（升学人数44人，升学率5.91%）、电梯工程学院（升学人数16人，升学率3.14%）、信息技术学院（升学人数16人，升学率2.68%）。毕业生升学率排名前三的专业为：金融管理（升学人数5人，升学率8.62%）、宠物临床诊疗技术（升学人数3人，升学率7.89%）、计算机网络技术（升学人数5人，升学率6.33%）。</w:t>
      </w:r>
    </w:p>
    <w:p>
      <w:pPr>
        <w:ind w:firstLine="400" w:firstLineChars="200"/>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表</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4</w:t>
      </w:r>
      <w:r>
        <w:rPr>
          <w:rFonts w:asciiTheme="minorEastAsia" w:hAnsiTheme="minorEastAsia" w:eastAsiaTheme="minorEastAsia"/>
          <w:sz w:val="20"/>
          <w:szCs w:val="20"/>
          <w:lang w:val="ru-RU"/>
        </w:rPr>
        <w:t>-</w:t>
      </w:r>
      <w:r>
        <w:rPr>
          <w:rFonts w:hint="eastAsia" w:asciiTheme="minorEastAsia" w:hAnsiTheme="minorEastAsia" w:eastAsiaTheme="minorEastAsia"/>
          <w:sz w:val="20"/>
          <w:szCs w:val="20"/>
          <w:lang w:val="en-US" w:eastAsia="zh-CN"/>
        </w:rPr>
        <w:t>1  2023届毕业生分专业升学情况</w:t>
      </w:r>
    </w:p>
    <w:p>
      <w:pPr>
        <w:jc w:val="right"/>
        <w:rPr>
          <w:rFonts w:hint="eastAsia" w:asciiTheme="minorEastAsia" w:hAnsiTheme="minorEastAsia" w:eastAsiaTheme="minorEastAsia"/>
          <w:sz w:val="20"/>
          <w:szCs w:val="20"/>
          <w:lang w:val="ru-RU"/>
        </w:rPr>
      </w:pPr>
      <w:r>
        <w:rPr>
          <w:rFonts w:hint="eastAsia" w:asciiTheme="minorEastAsia" w:hAnsiTheme="minorEastAsia" w:eastAsiaTheme="minorEastAsia"/>
          <w:sz w:val="20"/>
          <w:szCs w:val="20"/>
          <w:lang w:val="ru-RU"/>
        </w:rPr>
        <w:t>单位：人数（人）、比例（%）</w:t>
      </w:r>
    </w:p>
    <w:tbl>
      <w:tblPr>
        <w:tblStyle w:val="19"/>
        <w:tblW w:w="8513" w:type="dxa"/>
        <w:tblInd w:w="3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autofit"/>
        <w:tblCellMar>
          <w:top w:w="0" w:type="dxa"/>
          <w:left w:w="108" w:type="dxa"/>
          <w:bottom w:w="0" w:type="dxa"/>
          <w:right w:w="108" w:type="dxa"/>
        </w:tblCellMar>
      </w:tblPr>
      <w:tblGrid>
        <w:gridCol w:w="2338"/>
        <w:gridCol w:w="2662"/>
        <w:gridCol w:w="1238"/>
        <w:gridCol w:w="1212"/>
        <w:gridCol w:w="1063"/>
      </w:tblGrid>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38" w:type="dxa"/>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single" w:sz="24" w:space="0"/>
              <w:insideV w:val="single" w:sz="8" w:space="0"/>
            </w:tcBorders>
            <w:shd w:val="clear" w:color="auto" w:fill="4BACC6" w:themeFill="accent5"/>
            <w:vAlign w:val="top"/>
          </w:tcPr>
          <w:p>
            <w:pPr>
              <w:jc w:val="center"/>
              <w:rPr>
                <w:rFonts w:hint="eastAsia" w:asciiTheme="minorEastAsia" w:hAnsiTheme="minorEastAsia" w:eastAsiaTheme="minorEastAsia"/>
                <w:b/>
                <w:bCs/>
                <w:i w:val="0"/>
                <w:iCs w:val="0"/>
                <w:color w:val="FFFFFF" w:themeColor="background1"/>
                <w:sz w:val="20"/>
                <w:szCs w:val="20"/>
                <w:lang w:val="ru-RU" w:eastAsia="zh-CN"/>
                <w14:textFill>
                  <w14:solidFill>
                    <w14:schemeClr w14:val="bg1"/>
                  </w14:solidFill>
                </w14:textFill>
              </w:rPr>
            </w:pPr>
            <w:r>
              <w:rPr>
                <w:rFonts w:hint="eastAsia" w:asciiTheme="minorEastAsia" w:hAnsiTheme="minorEastAsia" w:eastAsiaTheme="minorEastAsia"/>
                <w:b/>
                <w:bCs/>
                <w:i w:val="0"/>
                <w:iCs w:val="0"/>
                <w:color w:val="FFFFFF" w:themeColor="background1"/>
                <w:sz w:val="20"/>
                <w:szCs w:val="20"/>
                <w:lang w:val="en-US" w:eastAsia="zh-CN"/>
                <w14:textFill>
                  <w14:solidFill>
                    <w14:schemeClr w14:val="bg1"/>
                  </w14:solidFill>
                </w14:textFill>
              </w:rPr>
              <w:t>二级学院</w:t>
            </w:r>
          </w:p>
        </w:tc>
        <w:tc>
          <w:tcPr>
            <w:tcW w:w="2662" w:type="dxa"/>
            <w:tcBorders>
              <w:top w:val="single" w:color="FFFFFF" w:themeColor="background1" w:sz="8" w:space="0"/>
              <w:bottom w:val="single" w:color="FFFFFF" w:themeColor="background1" w:sz="24" w:space="0"/>
              <w:right w:val="single" w:color="FFFFFF" w:themeColor="background1" w:sz="8" w:space="0"/>
              <w:insideH w:val="single" w:sz="24" w:space="0"/>
              <w:insideV w:val="single" w:sz="8" w:space="0"/>
            </w:tcBorders>
            <w:shd w:val="clear" w:color="auto" w:fill="4BACC6" w:themeFill="accent5"/>
            <w:vAlign w:val="top"/>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t>专业</w:t>
            </w:r>
          </w:p>
        </w:tc>
        <w:tc>
          <w:tcPr>
            <w:tcW w:w="1238" w:type="dxa"/>
            <w:tcBorders>
              <w:top w:val="single" w:color="FFFFFF" w:themeColor="background1" w:sz="8" w:space="0"/>
              <w:bottom w:val="single" w:color="FFFFFF" w:themeColor="background1" w:sz="24" w:space="0"/>
              <w:right w:val="single" w:color="FFFFFF" w:themeColor="background1" w:sz="8" w:space="0"/>
              <w:insideH w:val="single" w:sz="24" w:space="0"/>
              <w:insideV w:val="single" w:sz="8" w:space="0"/>
            </w:tcBorders>
            <w:shd w:val="clear" w:color="auto" w:fill="4BACC6" w:themeFill="accent5"/>
            <w:vAlign w:val="top"/>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r>
              <w:rPr>
                <w:rFonts w:hint="eastAsia" w:asciiTheme="minorEastAsia" w:hAnsiTheme="minorEastAsia" w:eastAsiaTheme="minorEastAsia"/>
                <w:b/>
                <w:bCs/>
                <w:i w:val="0"/>
                <w:iCs w:val="0"/>
                <w:color w:val="FFFFFF" w:themeColor="background1"/>
                <w:sz w:val="20"/>
                <w:szCs w:val="20"/>
                <w:lang w:val="en-US" w:eastAsia="zh-CN"/>
                <w14:textFill>
                  <w14:solidFill>
                    <w14:schemeClr w14:val="bg1"/>
                  </w14:solidFill>
                </w14:textFill>
              </w:rPr>
              <w:t>毕业生人数</w:t>
            </w:r>
          </w:p>
        </w:tc>
        <w:tc>
          <w:tcPr>
            <w:tcW w:w="1212" w:type="dxa"/>
            <w:tcBorders>
              <w:top w:val="single" w:color="FFFFFF" w:themeColor="background1" w:sz="8" w:space="0"/>
              <w:bottom w:val="single" w:color="FFFFFF" w:themeColor="background1" w:sz="24" w:space="0"/>
              <w:right w:val="single" w:color="FFFFFF" w:themeColor="background1" w:sz="8" w:space="0"/>
              <w:insideH w:val="single" w:sz="24" w:space="0"/>
              <w:insideV w:val="single" w:sz="8" w:space="0"/>
            </w:tcBorders>
            <w:shd w:val="clear" w:color="auto" w:fill="4BACC6" w:themeFill="accent5"/>
            <w:vAlign w:val="top"/>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r>
              <w:rPr>
                <w:rFonts w:hint="eastAsia" w:asciiTheme="minorEastAsia" w:hAnsiTheme="minorEastAsia" w:eastAsiaTheme="minorEastAsia"/>
                <w:b/>
                <w:bCs/>
                <w:i w:val="0"/>
                <w:iCs w:val="0"/>
                <w:color w:val="FFFFFF" w:themeColor="background1"/>
                <w:sz w:val="20"/>
                <w:szCs w:val="20"/>
                <w:lang w:val="en-US" w:eastAsia="zh-CN"/>
                <w14:textFill>
                  <w14:solidFill>
                    <w14:schemeClr w14:val="bg1"/>
                  </w14:solidFill>
                </w14:textFill>
              </w:rPr>
              <w:t>升学人数</w:t>
            </w:r>
          </w:p>
        </w:tc>
        <w:tc>
          <w:tcPr>
            <w:tcW w:w="1063" w:type="dxa"/>
            <w:tcBorders>
              <w:top w:val="single" w:color="FFFFFF" w:themeColor="background1" w:sz="8" w:space="0"/>
              <w:bottom w:val="single" w:color="FFFFFF" w:themeColor="background1" w:sz="24" w:space="0"/>
              <w:right w:val="single" w:color="FFFFFF" w:themeColor="background1" w:sz="8" w:space="0"/>
              <w:insideH w:val="single" w:sz="24" w:space="0"/>
              <w:insideV w:val="single" w:sz="8" w:space="0"/>
            </w:tcBorders>
            <w:shd w:val="clear" w:color="auto" w:fill="4BACC6" w:themeFill="accent5"/>
            <w:vAlign w:val="top"/>
          </w:tcPr>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r>
              <w:rPr>
                <w:rFonts w:hint="eastAsia" w:asciiTheme="minorEastAsia" w:hAnsiTheme="minorEastAsia" w:eastAsiaTheme="minorEastAsia"/>
                <w:b/>
                <w:bCs/>
                <w:i w:val="0"/>
                <w:iCs w:val="0"/>
                <w:color w:val="FFFFFF" w:themeColor="background1"/>
                <w:sz w:val="20"/>
                <w:szCs w:val="20"/>
                <w:lang w:val="en-US" w:eastAsia="zh-CN"/>
                <w14:textFill>
                  <w14:solidFill>
                    <w14:schemeClr w14:val="bg1"/>
                  </w14:solidFill>
                </w14:textFill>
              </w:rPr>
              <w:t>升学率</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38" w:type="dxa"/>
            <w:vMerge w:val="restart"/>
            <w:tcBorders>
              <w:left w:val="single" w:color="FFFFFF" w:themeColor="background1" w:sz="8" w:space="0"/>
              <w:right w:val="single" w:color="FFFFFF" w:themeColor="background1" w:sz="24" w:space="0"/>
              <w:insideH w:val="nil"/>
              <w:insideV w:val="single" w:sz="24" w:space="0"/>
            </w:tcBorders>
            <w:shd w:val="clear" w:color="auto" w:fill="4BACC6" w:themeFill="accent5"/>
            <w:vAlign w:val="center"/>
          </w:tcPr>
          <w:p>
            <w:pPr>
              <w:jc w:val="center"/>
              <w:rPr>
                <w:rFonts w:hint="eastAsia" w:cs="Times New Roman" w:asciiTheme="minorEastAsia" w:hAnsiTheme="minorEastAsia" w:eastAsiaTheme="minorEastAsia"/>
                <w:b/>
                <w:bCs/>
                <w:i w:val="0"/>
                <w:iCs w:val="0"/>
                <w:color w:val="FFFFFF" w:themeColor="background1"/>
                <w:kern w:val="2"/>
                <w:sz w:val="20"/>
                <w:szCs w:val="20"/>
                <w:lang w:val="ru-RU" w:eastAsia="zh-CN" w:bidi="ar-SA"/>
                <w14:textFill>
                  <w14:solidFill>
                    <w14:schemeClr w14:val="bg1"/>
                  </w14:solidFill>
                </w14:textFill>
              </w:rPr>
            </w:pPr>
            <w: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t>财会工商</w:t>
            </w:r>
            <w:r>
              <w:rPr>
                <w:rFonts w:hint="eastAsia" w:asciiTheme="minorEastAsia" w:hAnsiTheme="minorEastAsia" w:eastAsiaTheme="minorEastAsia"/>
                <w:b/>
                <w:bCs/>
                <w:i w:val="0"/>
                <w:iCs w:val="0"/>
                <w:color w:val="FFFFFF" w:themeColor="background1"/>
                <w:sz w:val="20"/>
                <w:szCs w:val="20"/>
                <w:lang w:val="en-US" w:eastAsia="zh-CN"/>
                <w14:textFill>
                  <w14:solidFill>
                    <w14:schemeClr w14:val="bg1"/>
                  </w14:solidFill>
                </w14:textFill>
              </w:rPr>
              <w:t>学院</w:t>
            </w:r>
          </w:p>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62" w:type="dxa"/>
            <w:shd w:val="clear" w:color="auto" w:fill="D2EAF0" w:themeFill="accent5" w:themeFillTint="3F"/>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ru-RU" w:eastAsia="zh-CN"/>
              </w:rPr>
              <w:t>会计</w:t>
            </w:r>
          </w:p>
        </w:tc>
        <w:tc>
          <w:tcPr>
            <w:tcW w:w="1238" w:type="dxa"/>
            <w:shd w:val="clear" w:color="auto" w:fill="D2EAF0" w:themeFill="accent5" w:themeFillTint="3F"/>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403</w:t>
            </w:r>
          </w:p>
        </w:tc>
        <w:tc>
          <w:tcPr>
            <w:tcW w:w="1212" w:type="dxa"/>
            <w:shd w:val="clear" w:color="auto" w:fill="D2EAF0" w:themeFill="accent5" w:themeFillTint="3F"/>
            <w:vAlign w:val="center"/>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25</w:t>
            </w:r>
          </w:p>
        </w:tc>
        <w:tc>
          <w:tcPr>
            <w:tcW w:w="1063" w:type="dxa"/>
            <w:shd w:val="clear" w:color="auto" w:fill="D2EAF0" w:themeFill="accent5" w:themeFillTint="3F"/>
            <w:vAlign w:val="center"/>
          </w:tcPr>
          <w:p>
            <w:pPr>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6.20</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38"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center"/>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62" w:type="dxa"/>
            <w:shd w:val="clear" w:color="auto" w:fill="92CDDC" w:themeFill="accent5" w:themeFillTint="99"/>
            <w:vAlign w:val="top"/>
          </w:tcPr>
          <w:p>
            <w:pPr>
              <w:jc w:val="center"/>
              <w:rPr>
                <w:rFonts w:hint="eastAsia" w:cs="Times New Roman" w:asciiTheme="minorEastAsia" w:hAnsiTheme="minorEastAsia" w:eastAsiaTheme="minorEastAsia"/>
                <w:kern w:val="2"/>
                <w:sz w:val="20"/>
                <w:szCs w:val="20"/>
                <w:lang w:val="ru-RU" w:eastAsia="zh-CN" w:bidi="ar-SA"/>
              </w:rPr>
            </w:pPr>
            <w:r>
              <w:rPr>
                <w:rFonts w:hint="eastAsia" w:asciiTheme="minorEastAsia" w:hAnsiTheme="minorEastAsia" w:eastAsiaTheme="minorEastAsia"/>
                <w:sz w:val="20"/>
                <w:szCs w:val="20"/>
                <w:lang w:val="ru-RU" w:eastAsia="zh-CN"/>
              </w:rPr>
              <w:t>文秘</w:t>
            </w:r>
          </w:p>
        </w:tc>
        <w:tc>
          <w:tcPr>
            <w:tcW w:w="1238" w:type="dxa"/>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166</w:t>
            </w:r>
          </w:p>
        </w:tc>
        <w:tc>
          <w:tcPr>
            <w:tcW w:w="1212" w:type="dxa"/>
            <w:shd w:val="clear" w:color="auto" w:fill="92CDDC" w:themeFill="accent5" w:themeFillTint="99"/>
            <w:vAlign w:val="center"/>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9</w:t>
            </w:r>
          </w:p>
        </w:tc>
        <w:tc>
          <w:tcPr>
            <w:tcW w:w="1063" w:type="dxa"/>
            <w:shd w:val="clear" w:color="auto" w:fill="92CDDC" w:themeFill="accent5" w:themeFillTint="99"/>
            <w:vAlign w:val="center"/>
          </w:tcPr>
          <w:p>
            <w:pPr>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5.42</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38"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top"/>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6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ru-RU" w:eastAsia="zh-CN"/>
              </w:rPr>
              <w:t>旅游管理</w:t>
            </w:r>
          </w:p>
        </w:tc>
        <w:tc>
          <w:tcPr>
            <w:tcW w:w="1238"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118</w:t>
            </w:r>
          </w:p>
        </w:tc>
        <w:tc>
          <w:tcPr>
            <w:tcW w:w="121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center"/>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5</w:t>
            </w:r>
          </w:p>
        </w:tc>
        <w:tc>
          <w:tcPr>
            <w:tcW w:w="1063"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center"/>
          </w:tcPr>
          <w:p>
            <w:pPr>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4.24</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38"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top"/>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62" w:type="dxa"/>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ru-RU" w:eastAsia="zh-CN"/>
              </w:rPr>
              <w:t>金融管理</w:t>
            </w:r>
          </w:p>
        </w:tc>
        <w:tc>
          <w:tcPr>
            <w:tcW w:w="1238" w:type="dxa"/>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58</w:t>
            </w:r>
          </w:p>
        </w:tc>
        <w:tc>
          <w:tcPr>
            <w:tcW w:w="1212" w:type="dxa"/>
            <w:shd w:val="clear" w:color="auto" w:fill="92CDDC" w:themeFill="accent5" w:themeFillTint="99"/>
            <w:vAlign w:val="center"/>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5</w:t>
            </w:r>
          </w:p>
        </w:tc>
        <w:tc>
          <w:tcPr>
            <w:tcW w:w="1063" w:type="dxa"/>
            <w:shd w:val="clear" w:color="auto" w:fill="92CDDC" w:themeFill="accent5" w:themeFillTint="99"/>
            <w:vAlign w:val="center"/>
          </w:tcPr>
          <w:p>
            <w:pPr>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8.62</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38" w:type="dxa"/>
            <w:vMerge w:val="continue"/>
            <w:tcBorders>
              <w:left w:val="single" w:color="FFFFFF" w:themeColor="background1" w:sz="8" w:space="0"/>
              <w:bottom w:val="nil"/>
              <w:right w:val="single" w:color="FFFFFF" w:themeColor="background1" w:sz="24" w:space="0"/>
              <w:insideH w:val="nil"/>
              <w:insideV w:val="single" w:sz="24" w:space="0"/>
            </w:tcBorders>
            <w:shd w:val="clear" w:color="auto" w:fill="4BACC6" w:themeFill="accent5"/>
            <w:vAlign w:val="top"/>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62" w:type="dxa"/>
            <w:shd w:val="clear" w:color="auto" w:fill="D2EAF0" w:themeFill="accent5" w:themeFillTint="3F"/>
            <w:vAlign w:val="top"/>
          </w:tcPr>
          <w:p>
            <w:pPr>
              <w:jc w:val="right"/>
              <w:rPr>
                <w:rFonts w:hint="default" w:cs="Times New Roman" w:asciiTheme="minorEastAsia" w:hAnsiTheme="minorEastAsia" w:eastAsiaTheme="minorEastAsia"/>
                <w:b/>
                <w:bCs/>
                <w:color w:val="1F497D" w:themeColor="text2"/>
                <w:kern w:val="2"/>
                <w:sz w:val="20"/>
                <w:szCs w:val="20"/>
                <w:highlight w:val="none"/>
                <w:lang w:val="en-US" w:eastAsia="zh-CN" w:bidi="ar-SA"/>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财会工商学院 汇总</w:t>
            </w:r>
          </w:p>
        </w:tc>
        <w:tc>
          <w:tcPr>
            <w:tcW w:w="1238" w:type="dxa"/>
            <w:shd w:val="clear" w:color="auto" w:fill="D2EAF0" w:themeFill="accent5" w:themeFillTint="3F"/>
            <w:vAlign w:val="top"/>
          </w:tcPr>
          <w:p>
            <w:pPr>
              <w:jc w:val="right"/>
              <w:rPr>
                <w:rFonts w:hint="default" w:cs="Times New Roman" w:asciiTheme="minorEastAsia" w:hAnsiTheme="minorEastAsia" w:eastAsiaTheme="minorEastAsia"/>
                <w:b/>
                <w:bCs/>
                <w:color w:val="1F497D" w:themeColor="text2"/>
                <w:kern w:val="2"/>
                <w:sz w:val="20"/>
                <w:szCs w:val="20"/>
                <w:highlight w:val="none"/>
                <w:lang w:val="en-US" w:eastAsia="zh-CN" w:bidi="ar-SA"/>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745</w:t>
            </w:r>
          </w:p>
        </w:tc>
        <w:tc>
          <w:tcPr>
            <w:tcW w:w="1212" w:type="dxa"/>
            <w:shd w:val="clear" w:color="auto" w:fill="D2EAF0" w:themeFill="accent5" w:themeFillTint="3F"/>
            <w:vAlign w:val="center"/>
          </w:tcPr>
          <w:p>
            <w:pPr>
              <w:jc w:val="right"/>
              <w:rPr>
                <w:rFonts w:hint="default" w:cs="Times New Roman" w:asciiTheme="minorEastAsia" w:hAnsiTheme="minorEastAsia" w:eastAsiaTheme="minorEastAsia"/>
                <w:kern w:val="2"/>
                <w:sz w:val="20"/>
                <w:szCs w:val="20"/>
                <w:highlight w:val="none"/>
                <w:lang w:val="en-US" w:eastAsia="zh-CN" w:bidi="ar-SA"/>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44</w:t>
            </w:r>
          </w:p>
        </w:tc>
        <w:tc>
          <w:tcPr>
            <w:tcW w:w="1063" w:type="dxa"/>
            <w:shd w:val="clear" w:color="auto" w:fill="D2EAF0" w:themeFill="accent5" w:themeFillTint="3F"/>
            <w:vAlign w:val="center"/>
          </w:tcPr>
          <w:p>
            <w:pPr>
              <w:jc w:val="right"/>
              <w:rPr>
                <w:rFonts w:hint="eastAsia" w:asciiTheme="minorEastAsia" w:hAnsiTheme="minorEastAsia" w:eastAsiaTheme="minorEastAsia"/>
                <w:b/>
                <w:bCs/>
                <w:color w:val="1F497D" w:themeColor="text2"/>
                <w:sz w:val="20"/>
                <w:szCs w:val="20"/>
                <w:highlight w:val="none"/>
                <w:lang w:val="en-US" w:eastAsia="zh-CN"/>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5.91</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38" w:type="dxa"/>
            <w:vMerge w:val="restart"/>
            <w:tcBorders>
              <w:top w:val="single" w:color="FFFFFF" w:themeColor="background1" w:sz="8" w:space="0"/>
              <w:left w:val="single" w:color="FFFFFF" w:themeColor="background1" w:sz="8" w:space="0"/>
              <w:right w:val="single" w:color="FFFFFF" w:themeColor="background1" w:sz="24" w:space="0"/>
              <w:insideH w:val="single" w:sz="8" w:space="0"/>
              <w:insideV w:val="single" w:sz="24" w:space="0"/>
            </w:tcBorders>
            <w:shd w:val="clear" w:color="auto" w:fill="4BACC6" w:themeFill="accent5"/>
            <w:vAlign w:val="center"/>
          </w:tcPr>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p>
            <w:pPr>
              <w:jc w:val="center"/>
              <w:rPr>
                <w:rFonts w:cs="Times New Roman" w:asciiTheme="minorEastAsia" w:hAnsiTheme="minorEastAsia" w:eastAsiaTheme="minorEastAsia"/>
                <w:b/>
                <w:bCs/>
                <w:i w:val="0"/>
                <w:iCs w:val="0"/>
                <w:color w:val="FFFFFF" w:themeColor="background1"/>
                <w:kern w:val="2"/>
                <w:sz w:val="20"/>
                <w:szCs w:val="20"/>
                <w:lang w:val="ru-RU" w:eastAsia="zh-CN" w:bidi="ar-SA"/>
                <w14:textFill>
                  <w14:solidFill>
                    <w14:schemeClr w14:val="bg1"/>
                  </w14:solidFill>
                </w14:textFill>
              </w:rPr>
            </w:pPr>
            <w: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t>电梯工程学院</w:t>
            </w:r>
          </w:p>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6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eastAsia" w:cs="Times New Roman" w:asciiTheme="minorEastAsia" w:hAnsiTheme="minorEastAsia" w:eastAsiaTheme="minorEastAsia"/>
                <w:kern w:val="2"/>
                <w:sz w:val="20"/>
                <w:szCs w:val="20"/>
                <w:lang w:val="ru-RU" w:eastAsia="zh-CN" w:bidi="ar-SA"/>
              </w:rPr>
            </w:pPr>
            <w:r>
              <w:rPr>
                <w:rFonts w:hint="eastAsia" w:asciiTheme="minorEastAsia" w:hAnsiTheme="minorEastAsia" w:eastAsiaTheme="minorEastAsia"/>
                <w:sz w:val="20"/>
                <w:szCs w:val="20"/>
                <w:lang w:val="ru-RU"/>
              </w:rPr>
              <w:t>电梯工程技术</w:t>
            </w:r>
          </w:p>
        </w:tc>
        <w:tc>
          <w:tcPr>
            <w:tcW w:w="1238"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252</w:t>
            </w:r>
          </w:p>
        </w:tc>
        <w:tc>
          <w:tcPr>
            <w:tcW w:w="121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center"/>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5</w:t>
            </w:r>
          </w:p>
        </w:tc>
        <w:tc>
          <w:tcPr>
            <w:tcW w:w="1063"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center"/>
          </w:tcPr>
          <w:p>
            <w:pPr>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1.98</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rPr>
          <w:trHeight w:val="252" w:hRule="atLeast"/>
        </w:trPr>
        <w:tc>
          <w:tcPr>
            <w:tcW w:w="2338" w:type="dxa"/>
            <w:vMerge w:val="continue"/>
            <w:tcBorders>
              <w:left w:val="single" w:color="FFFFFF" w:themeColor="background1" w:sz="8" w:space="0"/>
              <w:right w:val="single" w:color="FFFFFF" w:themeColor="background1" w:sz="24" w:space="0"/>
              <w:insideH w:val="single" w:sz="8" w:space="0"/>
              <w:insideV w:val="single" w:sz="24" w:space="0"/>
            </w:tcBorders>
            <w:shd w:val="clear" w:color="auto" w:fill="4BACC6" w:themeFill="accent5"/>
            <w:vAlign w:val="center"/>
          </w:tcPr>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6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eastAsia" w:cs="Times New Roman" w:asciiTheme="minorEastAsia" w:hAnsiTheme="minorEastAsia" w:eastAsiaTheme="minorEastAsia"/>
                <w:kern w:val="2"/>
                <w:sz w:val="20"/>
                <w:szCs w:val="20"/>
                <w:lang w:val="ru-RU" w:eastAsia="zh-CN" w:bidi="ar-SA"/>
              </w:rPr>
            </w:pPr>
            <w:r>
              <w:rPr>
                <w:rFonts w:hint="eastAsia" w:asciiTheme="minorEastAsia" w:hAnsiTheme="minorEastAsia" w:eastAsiaTheme="minorEastAsia"/>
                <w:sz w:val="20"/>
                <w:szCs w:val="20"/>
                <w:lang w:val="ru-RU"/>
              </w:rPr>
              <w:t>机电一体化技术</w:t>
            </w:r>
          </w:p>
        </w:tc>
        <w:tc>
          <w:tcPr>
            <w:tcW w:w="1238"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221</w:t>
            </w:r>
          </w:p>
        </w:tc>
        <w:tc>
          <w:tcPr>
            <w:tcW w:w="121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center"/>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9</w:t>
            </w:r>
          </w:p>
        </w:tc>
        <w:tc>
          <w:tcPr>
            <w:tcW w:w="1063"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center"/>
          </w:tcPr>
          <w:p>
            <w:pPr>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4.07</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38" w:type="dxa"/>
            <w:vMerge w:val="continue"/>
            <w:tcBorders>
              <w:left w:val="single" w:color="FFFFFF" w:themeColor="background1" w:sz="8" w:space="0"/>
              <w:right w:val="single" w:color="FFFFFF" w:themeColor="background1" w:sz="24" w:space="0"/>
              <w:insideH w:val="single" w:sz="8" w:space="0"/>
              <w:insideV w:val="single" w:sz="24" w:space="0"/>
            </w:tcBorders>
            <w:shd w:val="clear" w:color="auto" w:fill="4BACC6" w:themeFill="accent5"/>
            <w:vAlign w:val="center"/>
          </w:tcPr>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6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ru-RU" w:eastAsia="zh-CN" w:bidi="ar-SA"/>
              </w:rPr>
            </w:pPr>
            <w:r>
              <w:rPr>
                <w:rFonts w:hint="eastAsia" w:asciiTheme="minorEastAsia" w:hAnsiTheme="minorEastAsia" w:eastAsiaTheme="minorEastAsia"/>
                <w:sz w:val="20"/>
                <w:szCs w:val="20"/>
                <w:lang w:val="en-US" w:eastAsia="zh-CN"/>
              </w:rPr>
              <w:t>物联网应用技术</w:t>
            </w:r>
          </w:p>
        </w:tc>
        <w:tc>
          <w:tcPr>
            <w:tcW w:w="1238"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36</w:t>
            </w:r>
          </w:p>
        </w:tc>
        <w:tc>
          <w:tcPr>
            <w:tcW w:w="121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center"/>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2</w:t>
            </w:r>
          </w:p>
        </w:tc>
        <w:tc>
          <w:tcPr>
            <w:tcW w:w="1063"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center"/>
          </w:tcPr>
          <w:p>
            <w:pPr>
              <w:jc w:val="center"/>
              <w:rPr>
                <w:rFonts w:hint="eastAsia"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5.56</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38" w:type="dxa"/>
            <w:vMerge w:val="continue"/>
            <w:tcBorders>
              <w:left w:val="single" w:color="FFFFFF" w:themeColor="background1" w:sz="8" w:space="0"/>
              <w:right w:val="single" w:color="FFFFFF" w:themeColor="background1" w:sz="24" w:space="0"/>
              <w:insideH w:val="single" w:sz="8" w:space="0"/>
              <w:insideV w:val="single" w:sz="24" w:space="0"/>
            </w:tcBorders>
            <w:shd w:val="clear" w:color="auto" w:fill="4BACC6" w:themeFill="accent5"/>
            <w:vAlign w:val="center"/>
          </w:tcPr>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6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right"/>
              <w:rPr>
                <w:rFonts w:hint="default" w:cs="Times New Roman" w:asciiTheme="minorEastAsia" w:hAnsiTheme="minorEastAsia" w:eastAsiaTheme="minorEastAsia"/>
                <w:b/>
                <w:bCs/>
                <w:color w:val="1F497D" w:themeColor="text2"/>
                <w:kern w:val="2"/>
                <w:sz w:val="20"/>
                <w:szCs w:val="20"/>
                <w:highlight w:val="none"/>
                <w:lang w:val="ru-RU" w:eastAsia="zh-CN" w:bidi="ar-SA"/>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电梯工程学院 汇总</w:t>
            </w:r>
          </w:p>
        </w:tc>
        <w:tc>
          <w:tcPr>
            <w:tcW w:w="1238"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right"/>
              <w:rPr>
                <w:rFonts w:hint="default" w:cs="Times New Roman" w:asciiTheme="minorEastAsia" w:hAnsiTheme="minorEastAsia" w:eastAsiaTheme="minorEastAsia"/>
                <w:b/>
                <w:bCs/>
                <w:color w:val="1F497D" w:themeColor="text2"/>
                <w:kern w:val="2"/>
                <w:sz w:val="20"/>
                <w:szCs w:val="20"/>
                <w:highlight w:val="none"/>
                <w:lang w:val="en-US" w:eastAsia="zh-CN" w:bidi="ar-SA"/>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509</w:t>
            </w:r>
          </w:p>
        </w:tc>
        <w:tc>
          <w:tcPr>
            <w:tcW w:w="121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center"/>
          </w:tcPr>
          <w:p>
            <w:pPr>
              <w:jc w:val="right"/>
              <w:rPr>
                <w:rFonts w:hint="default" w:cs="Times New Roman" w:asciiTheme="minorEastAsia" w:hAnsiTheme="minorEastAsia" w:eastAsiaTheme="minorEastAsia"/>
                <w:kern w:val="2"/>
                <w:sz w:val="20"/>
                <w:szCs w:val="20"/>
                <w:highlight w:val="none"/>
                <w:lang w:val="en-US" w:eastAsia="zh-CN" w:bidi="ar-SA"/>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16</w:t>
            </w:r>
          </w:p>
        </w:tc>
        <w:tc>
          <w:tcPr>
            <w:tcW w:w="1063"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center"/>
          </w:tcPr>
          <w:p>
            <w:pPr>
              <w:jc w:val="right"/>
              <w:rPr>
                <w:rFonts w:hint="eastAsia" w:asciiTheme="minorEastAsia" w:hAnsiTheme="minorEastAsia" w:eastAsiaTheme="minorEastAsia"/>
                <w:b/>
                <w:bCs/>
                <w:color w:val="1F497D" w:themeColor="text2"/>
                <w:sz w:val="20"/>
                <w:szCs w:val="20"/>
                <w:highlight w:val="none"/>
                <w:lang w:val="en-US" w:eastAsia="zh-CN"/>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3.14</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38" w:type="dxa"/>
            <w:vMerge w:val="restart"/>
            <w:tcBorders>
              <w:left w:val="single" w:color="FFFFFF" w:themeColor="background1" w:sz="8" w:space="0"/>
              <w:right w:val="single" w:color="FFFFFF" w:themeColor="background1" w:sz="24" w:space="0"/>
              <w:insideH w:val="single" w:sz="8" w:space="0"/>
              <w:insideV w:val="single" w:sz="24" w:space="0"/>
            </w:tcBorders>
            <w:shd w:val="clear" w:color="auto" w:fill="4BACC6" w:themeFill="accent5"/>
            <w:vAlign w:val="center"/>
          </w:tcPr>
          <w:p>
            <w:pPr>
              <w:jc w:val="center"/>
              <w:rPr>
                <w:rFonts w:hint="eastAsia" w:cs="Times New Roman" w:asciiTheme="minorEastAsia" w:hAnsiTheme="minorEastAsia" w:eastAsiaTheme="minorEastAsia"/>
                <w:b/>
                <w:bCs/>
                <w:i w:val="0"/>
                <w:iCs w:val="0"/>
                <w:color w:val="FFFFFF" w:themeColor="background1"/>
                <w:kern w:val="2"/>
                <w:sz w:val="20"/>
                <w:szCs w:val="20"/>
                <w:lang w:val="en-US" w:eastAsia="zh-CN" w:bidi="ar-SA"/>
                <w14:textFill>
                  <w14:solidFill>
                    <w14:schemeClr w14:val="bg1"/>
                  </w14:solidFill>
                </w14:textFill>
              </w:rPr>
            </w:pPr>
          </w:p>
          <w:p>
            <w:pPr>
              <w:jc w:val="center"/>
              <w:rPr>
                <w:rFonts w:hint="default" w:cs="Times New Roman" w:asciiTheme="minorEastAsia" w:hAnsiTheme="minorEastAsia" w:eastAsiaTheme="minorEastAsia"/>
                <w:b/>
                <w:bCs/>
                <w:i w:val="0"/>
                <w:iCs w:val="0"/>
                <w:color w:val="FFFFFF" w:themeColor="background1"/>
                <w:kern w:val="2"/>
                <w:sz w:val="20"/>
                <w:szCs w:val="20"/>
                <w:lang w:val="en-US" w:eastAsia="zh-CN" w:bidi="ar-SA"/>
                <w14:textFill>
                  <w14:solidFill>
                    <w14:schemeClr w14:val="bg1"/>
                  </w14:solidFill>
                </w14:textFill>
              </w:rPr>
            </w:pPr>
            <w:r>
              <w:rPr>
                <w:rFonts w:hint="eastAsia" w:cs="Times New Roman" w:asciiTheme="minorEastAsia" w:hAnsiTheme="minorEastAsia" w:eastAsiaTheme="minorEastAsia"/>
                <w:b/>
                <w:bCs/>
                <w:i w:val="0"/>
                <w:iCs w:val="0"/>
                <w:color w:val="FFFFFF" w:themeColor="background1"/>
                <w:kern w:val="2"/>
                <w:sz w:val="20"/>
                <w:szCs w:val="20"/>
                <w:lang w:val="en-US" w:eastAsia="zh-CN" w:bidi="ar-SA"/>
                <w14:textFill>
                  <w14:solidFill>
                    <w14:schemeClr w14:val="bg1"/>
                  </w14:solidFill>
                </w14:textFill>
              </w:rPr>
              <w:t>艺术创意学院</w:t>
            </w:r>
          </w:p>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6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ru-RU" w:eastAsia="zh-CN"/>
              </w:rPr>
              <w:t>电子商务</w:t>
            </w:r>
          </w:p>
        </w:tc>
        <w:tc>
          <w:tcPr>
            <w:tcW w:w="1238"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433</w:t>
            </w:r>
          </w:p>
        </w:tc>
        <w:tc>
          <w:tcPr>
            <w:tcW w:w="121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center"/>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4</w:t>
            </w:r>
          </w:p>
        </w:tc>
        <w:tc>
          <w:tcPr>
            <w:tcW w:w="1063"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center"/>
          </w:tcPr>
          <w:p>
            <w:pPr>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0.92</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38" w:type="dxa"/>
            <w:vMerge w:val="continue"/>
            <w:tcBorders>
              <w:left w:val="single" w:color="FFFFFF" w:themeColor="background1" w:sz="8" w:space="0"/>
              <w:right w:val="single" w:color="FFFFFF" w:themeColor="background1" w:sz="24" w:space="0"/>
              <w:insideH w:val="single" w:sz="8" w:space="0"/>
              <w:insideV w:val="single" w:sz="24" w:space="0"/>
            </w:tcBorders>
            <w:shd w:val="clear" w:color="auto" w:fill="4BACC6" w:themeFill="accent5"/>
            <w:vAlign w:val="center"/>
          </w:tcPr>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6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ru-RU" w:eastAsia="zh-CN"/>
              </w:rPr>
              <w:t>服装与服饰设计</w:t>
            </w:r>
          </w:p>
        </w:tc>
        <w:tc>
          <w:tcPr>
            <w:tcW w:w="1238"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91</w:t>
            </w:r>
          </w:p>
        </w:tc>
        <w:tc>
          <w:tcPr>
            <w:tcW w:w="121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center"/>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4</w:t>
            </w:r>
          </w:p>
        </w:tc>
        <w:tc>
          <w:tcPr>
            <w:tcW w:w="1063"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center"/>
          </w:tcPr>
          <w:p>
            <w:pPr>
              <w:jc w:val="center"/>
              <w:rPr>
                <w:rFonts w:hint="eastAsia"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4.40</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38" w:type="dxa"/>
            <w:vMerge w:val="continue"/>
            <w:tcBorders>
              <w:left w:val="single" w:color="FFFFFF" w:themeColor="background1" w:sz="8" w:space="0"/>
              <w:bottom w:val="single" w:color="FFFFFF" w:themeColor="background1" w:sz="8" w:space="0"/>
              <w:right w:val="single" w:color="FFFFFF" w:themeColor="background1" w:sz="24" w:space="0"/>
              <w:insideH w:val="single" w:sz="8" w:space="0"/>
              <w:insideV w:val="single" w:sz="24" w:space="0"/>
            </w:tcBorders>
            <w:shd w:val="clear" w:color="auto" w:fill="4BACC6" w:themeFill="accent5"/>
            <w:vAlign w:val="center"/>
          </w:tcPr>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6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cs="Times New Roman" w:asciiTheme="minorEastAsia" w:hAnsiTheme="minorEastAsia" w:eastAsiaTheme="minorEastAsia"/>
                <w:b/>
                <w:bCs/>
                <w:color w:val="1F497D" w:themeColor="text2"/>
                <w:kern w:val="2"/>
                <w:sz w:val="20"/>
                <w:szCs w:val="20"/>
                <w:lang w:val="en-US" w:eastAsia="zh-CN" w:bidi="ar-SA"/>
                <w14:textFill>
                  <w14:solidFill>
                    <w14:schemeClr w14:val="tx2"/>
                  </w14:solidFill>
                </w14:textFill>
              </w:rPr>
            </w:pPr>
            <w:r>
              <w:rPr>
                <w:rFonts w:hint="eastAsia" w:asciiTheme="minorEastAsia" w:hAnsiTheme="minorEastAsia" w:eastAsiaTheme="minorEastAsia"/>
                <w:sz w:val="20"/>
                <w:szCs w:val="20"/>
                <w:lang w:val="ru-RU" w:eastAsia="zh-CN"/>
              </w:rPr>
              <w:t>广告设计与制作</w:t>
            </w:r>
          </w:p>
        </w:tc>
        <w:tc>
          <w:tcPr>
            <w:tcW w:w="1238"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cs="Times New Roman" w:asciiTheme="minorEastAsia" w:hAnsiTheme="minorEastAsia" w:eastAsiaTheme="minorEastAsia"/>
                <w:b/>
                <w:bCs/>
                <w:color w:val="1F497D" w:themeColor="text2"/>
                <w:kern w:val="2"/>
                <w:sz w:val="20"/>
                <w:szCs w:val="20"/>
                <w:lang w:val="en-US" w:eastAsia="zh-CN" w:bidi="ar-SA"/>
                <w14:textFill>
                  <w14:solidFill>
                    <w14:schemeClr w14:val="tx2"/>
                  </w14:solidFill>
                </w14:textFill>
              </w:rPr>
            </w:pPr>
            <w:r>
              <w:rPr>
                <w:rFonts w:hint="eastAsia" w:asciiTheme="minorEastAsia" w:hAnsiTheme="minorEastAsia" w:eastAsiaTheme="minorEastAsia"/>
                <w:sz w:val="20"/>
                <w:szCs w:val="20"/>
                <w:lang w:val="en-US" w:eastAsia="zh-CN"/>
              </w:rPr>
              <w:t>189</w:t>
            </w:r>
          </w:p>
        </w:tc>
        <w:tc>
          <w:tcPr>
            <w:tcW w:w="121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center"/>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8</w:t>
            </w:r>
          </w:p>
        </w:tc>
        <w:tc>
          <w:tcPr>
            <w:tcW w:w="1063"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center"/>
          </w:tcPr>
          <w:p>
            <w:pPr>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4.23</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38" w:type="dxa"/>
            <w:vMerge w:val="continue"/>
            <w:tcBorders>
              <w:top w:val="single" w:color="FFFFFF" w:themeColor="background1" w:sz="8" w:space="0"/>
              <w:left w:val="single" w:color="FFFFFF" w:themeColor="background1" w:sz="8" w:space="0"/>
              <w:bottom w:val="single" w:color="FFFFFF" w:themeColor="background1" w:sz="8" w:space="0"/>
              <w:right w:val="single" w:color="FFFFFF" w:themeColor="background1" w:sz="24" w:space="0"/>
              <w:insideH w:val="single" w:sz="8" w:space="0"/>
              <w:insideV w:val="single" w:sz="24" w:space="0"/>
            </w:tcBorders>
            <w:shd w:val="clear" w:color="auto" w:fill="4BACC6" w:themeFill="accent5"/>
            <w:vAlign w:val="center"/>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6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right"/>
              <w:rPr>
                <w:rFonts w:asciiTheme="minorEastAsia" w:hAnsiTheme="minorEastAsia" w:eastAsiaTheme="minorEastAsia"/>
                <w:sz w:val="20"/>
                <w:szCs w:val="20"/>
                <w:highlight w:val="none"/>
                <w:lang w:val="ru-RU"/>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艺术创意学院 汇总</w:t>
            </w:r>
          </w:p>
        </w:tc>
        <w:tc>
          <w:tcPr>
            <w:tcW w:w="1238"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right"/>
              <w:rPr>
                <w:rFonts w:hint="default" w:asciiTheme="minorEastAsia" w:hAnsiTheme="minorEastAsia" w:eastAsiaTheme="minorEastAsia"/>
                <w:b/>
                <w:bCs/>
                <w:sz w:val="20"/>
                <w:szCs w:val="20"/>
                <w:highlight w:val="none"/>
                <w:lang w:val="en-US" w:eastAsia="zh-CN"/>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713</w:t>
            </w:r>
          </w:p>
        </w:tc>
        <w:tc>
          <w:tcPr>
            <w:tcW w:w="121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center"/>
          </w:tcPr>
          <w:p>
            <w:pPr>
              <w:jc w:val="right"/>
              <w:rPr>
                <w:rFonts w:hint="default" w:asciiTheme="minorEastAsia" w:hAnsiTheme="minorEastAsia" w:eastAsiaTheme="minorEastAsia"/>
                <w:b/>
                <w:bCs/>
                <w:sz w:val="20"/>
                <w:szCs w:val="20"/>
                <w:highlight w:val="none"/>
                <w:lang w:val="en-US"/>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16</w:t>
            </w:r>
          </w:p>
        </w:tc>
        <w:tc>
          <w:tcPr>
            <w:tcW w:w="1063"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center"/>
          </w:tcPr>
          <w:p>
            <w:pPr>
              <w:jc w:val="right"/>
              <w:rPr>
                <w:rFonts w:hint="eastAsia" w:asciiTheme="minorEastAsia" w:hAnsiTheme="minorEastAsia" w:eastAsiaTheme="minorEastAsia"/>
                <w:b/>
                <w:bCs/>
                <w:color w:val="1F497D" w:themeColor="text2"/>
                <w:sz w:val="20"/>
                <w:szCs w:val="20"/>
                <w:highlight w:val="none"/>
                <w:lang w:val="en-US" w:eastAsia="zh-CN"/>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2.24</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38" w:type="dxa"/>
            <w:vMerge w:val="restart"/>
            <w:tcBorders>
              <w:top w:val="single" w:color="FFFFFF" w:themeColor="background1" w:sz="8" w:space="0"/>
              <w:left w:val="single" w:color="FFFFFF" w:themeColor="background1" w:sz="8" w:space="0"/>
              <w:right w:val="single" w:color="FFFFFF" w:themeColor="background1" w:sz="24" w:space="0"/>
              <w:insideH w:val="single" w:sz="8" w:space="0"/>
              <w:insideV w:val="single" w:sz="24" w:space="0"/>
            </w:tcBorders>
            <w:shd w:val="clear" w:color="auto" w:fill="4BACC6" w:themeFill="accent5"/>
            <w:vAlign w:val="center"/>
          </w:tcPr>
          <w:p>
            <w:pPr>
              <w:jc w:val="center"/>
              <w:rPr>
                <w:rFonts w:hint="eastAsia" w:cs="Times New Roman" w:asciiTheme="minorEastAsia" w:hAnsiTheme="minorEastAsia" w:eastAsiaTheme="minorEastAsia"/>
                <w:b/>
                <w:bCs/>
                <w:i w:val="0"/>
                <w:iCs w:val="0"/>
                <w:color w:val="FFFFFF" w:themeColor="background1"/>
                <w:kern w:val="2"/>
                <w:sz w:val="20"/>
                <w:szCs w:val="20"/>
                <w:lang w:val="en-US" w:eastAsia="zh-CN" w:bidi="ar-SA"/>
                <w14:textFill>
                  <w14:solidFill>
                    <w14:schemeClr w14:val="bg1"/>
                  </w14:solidFill>
                </w14:textFill>
              </w:rPr>
            </w:pPr>
            <w: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t>生物工程</w:t>
            </w:r>
            <w:r>
              <w:rPr>
                <w:rFonts w:hint="eastAsia" w:asciiTheme="minorEastAsia" w:hAnsiTheme="minorEastAsia" w:eastAsiaTheme="minorEastAsia"/>
                <w:b/>
                <w:bCs/>
                <w:i w:val="0"/>
                <w:iCs w:val="0"/>
                <w:color w:val="FFFFFF" w:themeColor="background1"/>
                <w:sz w:val="20"/>
                <w:szCs w:val="20"/>
                <w:lang w:val="en-US" w:eastAsia="zh-CN"/>
                <w14:textFill>
                  <w14:solidFill>
                    <w14:schemeClr w14:val="bg1"/>
                  </w14:solidFill>
                </w14:textFill>
              </w:rPr>
              <w:t>学院</w:t>
            </w:r>
          </w:p>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6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eastAsia" w:cs="Times New Roman" w:asciiTheme="minorEastAsia" w:hAnsiTheme="minorEastAsia" w:eastAsiaTheme="minorEastAsia"/>
                <w:kern w:val="2"/>
                <w:sz w:val="20"/>
                <w:szCs w:val="20"/>
                <w:lang w:val="ru-RU" w:eastAsia="zh-CN" w:bidi="ar-SA"/>
              </w:rPr>
            </w:pPr>
            <w:r>
              <w:rPr>
                <w:rFonts w:hint="eastAsia" w:asciiTheme="minorEastAsia" w:hAnsiTheme="minorEastAsia" w:eastAsiaTheme="minorEastAsia"/>
                <w:sz w:val="20"/>
                <w:szCs w:val="20"/>
                <w:lang w:val="ru-RU"/>
              </w:rPr>
              <w:t>动物医学</w:t>
            </w:r>
          </w:p>
        </w:tc>
        <w:tc>
          <w:tcPr>
            <w:tcW w:w="1238"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266</w:t>
            </w:r>
          </w:p>
        </w:tc>
        <w:tc>
          <w:tcPr>
            <w:tcW w:w="121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center"/>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5</w:t>
            </w:r>
          </w:p>
        </w:tc>
        <w:tc>
          <w:tcPr>
            <w:tcW w:w="1063"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center"/>
          </w:tcPr>
          <w:p>
            <w:pPr>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1.88</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rPr>
          <w:trHeight w:val="252" w:hRule="atLeast"/>
        </w:trPr>
        <w:tc>
          <w:tcPr>
            <w:tcW w:w="2338" w:type="dxa"/>
            <w:vMerge w:val="continue"/>
            <w:tcBorders>
              <w:left w:val="single" w:color="FFFFFF" w:themeColor="background1" w:sz="8" w:space="0"/>
              <w:right w:val="single" w:color="FFFFFF" w:themeColor="background1" w:sz="24" w:space="0"/>
              <w:insideH w:val="single" w:sz="8" w:space="0"/>
              <w:insideV w:val="single" w:sz="24" w:space="0"/>
            </w:tcBorders>
            <w:shd w:val="clear" w:color="auto" w:fill="4BACC6" w:themeFill="accent5"/>
            <w:vAlign w:val="center"/>
          </w:tcPr>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6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eastAsia" w:cs="Times New Roman" w:asciiTheme="minorEastAsia" w:hAnsiTheme="minorEastAsia" w:eastAsiaTheme="minorEastAsia"/>
                <w:kern w:val="2"/>
                <w:sz w:val="20"/>
                <w:szCs w:val="20"/>
                <w:lang w:val="ru-RU" w:eastAsia="zh-CN" w:bidi="ar-SA"/>
              </w:rPr>
            </w:pPr>
            <w:r>
              <w:rPr>
                <w:rFonts w:hint="eastAsia" w:asciiTheme="minorEastAsia" w:hAnsiTheme="minorEastAsia" w:eastAsiaTheme="minorEastAsia"/>
                <w:sz w:val="20"/>
                <w:szCs w:val="20"/>
                <w:lang w:val="ru-RU"/>
              </w:rPr>
              <w:t>药品生产技术</w:t>
            </w:r>
          </w:p>
        </w:tc>
        <w:tc>
          <w:tcPr>
            <w:tcW w:w="1238"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81</w:t>
            </w:r>
          </w:p>
        </w:tc>
        <w:tc>
          <w:tcPr>
            <w:tcW w:w="121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center"/>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2</w:t>
            </w:r>
          </w:p>
        </w:tc>
        <w:tc>
          <w:tcPr>
            <w:tcW w:w="1063"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center"/>
          </w:tcPr>
          <w:p>
            <w:pPr>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2.47</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38" w:type="dxa"/>
            <w:vMerge w:val="continue"/>
            <w:tcBorders>
              <w:left w:val="single" w:color="FFFFFF" w:themeColor="background1" w:sz="8" w:space="0"/>
              <w:right w:val="single" w:color="FFFFFF" w:themeColor="background1" w:sz="24" w:space="0"/>
              <w:insideH w:val="single" w:sz="8" w:space="0"/>
              <w:insideV w:val="single" w:sz="24" w:space="0"/>
            </w:tcBorders>
            <w:shd w:val="clear" w:color="auto" w:fill="4BACC6" w:themeFill="accent5"/>
            <w:vAlign w:val="center"/>
          </w:tcPr>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6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ru-RU" w:eastAsia="zh-CN" w:bidi="ar-SA"/>
              </w:rPr>
            </w:pPr>
            <w:r>
              <w:rPr>
                <w:rFonts w:hint="eastAsia" w:asciiTheme="minorEastAsia" w:hAnsiTheme="minorEastAsia" w:eastAsiaTheme="minorEastAsia"/>
                <w:sz w:val="20"/>
                <w:szCs w:val="20"/>
                <w:lang w:val="en-US" w:eastAsia="zh-CN"/>
              </w:rPr>
              <w:t>宠物临床诊疗技术</w:t>
            </w:r>
          </w:p>
        </w:tc>
        <w:tc>
          <w:tcPr>
            <w:tcW w:w="1238"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38</w:t>
            </w:r>
          </w:p>
        </w:tc>
        <w:tc>
          <w:tcPr>
            <w:tcW w:w="121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center"/>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3</w:t>
            </w:r>
          </w:p>
        </w:tc>
        <w:tc>
          <w:tcPr>
            <w:tcW w:w="1063"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center"/>
          </w:tcPr>
          <w:p>
            <w:pPr>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7.89</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38" w:type="dxa"/>
            <w:vMerge w:val="continue"/>
            <w:tcBorders>
              <w:left w:val="single" w:color="FFFFFF" w:themeColor="background1" w:sz="8" w:space="0"/>
              <w:right w:val="single" w:color="FFFFFF" w:themeColor="background1" w:sz="24" w:space="0"/>
              <w:insideH w:val="single" w:sz="8" w:space="0"/>
              <w:insideV w:val="single" w:sz="24" w:space="0"/>
            </w:tcBorders>
            <w:shd w:val="clear" w:color="auto" w:fill="4BACC6" w:themeFill="accent5"/>
            <w:vAlign w:val="center"/>
          </w:tcPr>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6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right"/>
              <w:rPr>
                <w:rFonts w:hint="default" w:cs="Times New Roman" w:asciiTheme="minorEastAsia" w:hAnsiTheme="minorEastAsia" w:eastAsiaTheme="minorEastAsia"/>
                <w:b/>
                <w:bCs/>
                <w:color w:val="1F497D" w:themeColor="text2"/>
                <w:kern w:val="2"/>
                <w:sz w:val="20"/>
                <w:szCs w:val="20"/>
                <w:highlight w:val="none"/>
                <w:lang w:val="ru-RU" w:eastAsia="zh-CN" w:bidi="ar-SA"/>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生物工程学院 汇总</w:t>
            </w:r>
          </w:p>
        </w:tc>
        <w:tc>
          <w:tcPr>
            <w:tcW w:w="1238"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right"/>
              <w:rPr>
                <w:rFonts w:hint="default" w:cs="Times New Roman" w:asciiTheme="minorEastAsia" w:hAnsiTheme="minorEastAsia" w:eastAsiaTheme="minorEastAsia"/>
                <w:b/>
                <w:bCs/>
                <w:color w:val="1F497D" w:themeColor="text2"/>
                <w:kern w:val="2"/>
                <w:sz w:val="20"/>
                <w:szCs w:val="20"/>
                <w:highlight w:val="none"/>
                <w:lang w:val="en-US" w:eastAsia="zh-CN" w:bidi="ar-SA"/>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385</w:t>
            </w:r>
          </w:p>
        </w:tc>
        <w:tc>
          <w:tcPr>
            <w:tcW w:w="121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center"/>
          </w:tcPr>
          <w:p>
            <w:pPr>
              <w:jc w:val="right"/>
              <w:rPr>
                <w:rFonts w:hint="default" w:cs="Times New Roman" w:asciiTheme="minorEastAsia" w:hAnsiTheme="minorEastAsia" w:eastAsiaTheme="minorEastAsia"/>
                <w:kern w:val="2"/>
                <w:sz w:val="20"/>
                <w:szCs w:val="20"/>
                <w:highlight w:val="none"/>
                <w:lang w:val="en-US" w:eastAsia="zh-CN" w:bidi="ar-SA"/>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10</w:t>
            </w:r>
          </w:p>
        </w:tc>
        <w:tc>
          <w:tcPr>
            <w:tcW w:w="1063"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center"/>
          </w:tcPr>
          <w:p>
            <w:pPr>
              <w:jc w:val="right"/>
              <w:rPr>
                <w:rFonts w:hint="eastAsia" w:asciiTheme="minorEastAsia" w:hAnsiTheme="minorEastAsia" w:eastAsiaTheme="minorEastAsia"/>
                <w:b/>
                <w:bCs/>
                <w:color w:val="1F497D" w:themeColor="text2"/>
                <w:sz w:val="20"/>
                <w:szCs w:val="20"/>
                <w:highlight w:val="none"/>
                <w:lang w:val="en-US" w:eastAsia="zh-CN"/>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2.60</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rPr>
          <w:trHeight w:val="90" w:hRule="atLeast"/>
        </w:trPr>
        <w:tc>
          <w:tcPr>
            <w:tcW w:w="2338" w:type="dxa"/>
            <w:vMerge w:val="restart"/>
            <w:tcBorders>
              <w:left w:val="single" w:color="FFFFFF" w:themeColor="background1" w:sz="8" w:space="0"/>
              <w:right w:val="single" w:color="FFFFFF" w:themeColor="background1" w:sz="24" w:space="0"/>
              <w:insideH w:val="nil"/>
              <w:insideV w:val="single" w:sz="24" w:space="0"/>
            </w:tcBorders>
            <w:shd w:val="clear" w:color="auto" w:fill="4BACC6" w:themeFill="accent5"/>
            <w:vAlign w:val="center"/>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t>汽车与智能制造学院</w:t>
            </w:r>
          </w:p>
        </w:tc>
        <w:tc>
          <w:tcPr>
            <w:tcW w:w="2662" w:type="dxa"/>
            <w:shd w:val="clear" w:color="auto" w:fill="92CDDC" w:themeFill="accent5" w:themeFillTint="99"/>
            <w:vAlign w:val="top"/>
          </w:tcPr>
          <w:p>
            <w:pPr>
              <w:jc w:val="center"/>
              <w:rPr>
                <w:rFonts w:asciiTheme="minorEastAsia" w:hAnsiTheme="minorEastAsia" w:eastAsiaTheme="minorEastAsia"/>
                <w:sz w:val="20"/>
                <w:szCs w:val="20"/>
                <w:lang w:val="ru-RU"/>
              </w:rPr>
            </w:pPr>
            <w:r>
              <w:rPr>
                <w:rFonts w:hint="eastAsia" w:asciiTheme="minorEastAsia" w:hAnsiTheme="minorEastAsia" w:eastAsiaTheme="minorEastAsia"/>
                <w:sz w:val="20"/>
                <w:szCs w:val="20"/>
                <w:lang w:val="ru-RU" w:eastAsia="zh-CN"/>
              </w:rPr>
              <w:t>汽车检测与维修技术</w:t>
            </w:r>
          </w:p>
        </w:tc>
        <w:tc>
          <w:tcPr>
            <w:tcW w:w="1238" w:type="dxa"/>
            <w:shd w:val="clear" w:color="auto" w:fill="92CDDC" w:themeFill="accent5" w:themeFillTint="99"/>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168</w:t>
            </w:r>
          </w:p>
        </w:tc>
        <w:tc>
          <w:tcPr>
            <w:tcW w:w="1212" w:type="dxa"/>
            <w:shd w:val="clear" w:color="auto" w:fill="92CDDC" w:themeFill="accent5" w:themeFillTint="99"/>
            <w:vAlign w:val="center"/>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2</w:t>
            </w:r>
          </w:p>
        </w:tc>
        <w:tc>
          <w:tcPr>
            <w:tcW w:w="1063" w:type="dxa"/>
            <w:shd w:val="clear" w:color="auto" w:fill="92CDDC" w:themeFill="accent5" w:themeFillTint="99"/>
            <w:vAlign w:val="center"/>
          </w:tcPr>
          <w:p>
            <w:pPr>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1.19</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38"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top"/>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6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asciiTheme="minorEastAsia" w:hAnsiTheme="minorEastAsia" w:eastAsiaTheme="minorEastAsia"/>
                <w:sz w:val="20"/>
                <w:szCs w:val="20"/>
                <w:lang w:val="ru-RU"/>
              </w:rPr>
            </w:pPr>
            <w:r>
              <w:rPr>
                <w:rFonts w:hint="eastAsia" w:asciiTheme="minorEastAsia" w:hAnsiTheme="minorEastAsia" w:eastAsiaTheme="minorEastAsia"/>
                <w:sz w:val="20"/>
                <w:szCs w:val="20"/>
                <w:lang w:val="en-US" w:eastAsia="zh-CN"/>
              </w:rPr>
              <w:t>工业机器人技术</w:t>
            </w:r>
          </w:p>
        </w:tc>
        <w:tc>
          <w:tcPr>
            <w:tcW w:w="1238"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188</w:t>
            </w:r>
          </w:p>
        </w:tc>
        <w:tc>
          <w:tcPr>
            <w:tcW w:w="121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center"/>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w:t>
            </w:r>
          </w:p>
        </w:tc>
        <w:tc>
          <w:tcPr>
            <w:tcW w:w="1063"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center"/>
          </w:tcPr>
          <w:p>
            <w:pPr>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0.53</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38"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top"/>
          </w:tcPr>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62" w:type="dxa"/>
            <w:shd w:val="clear" w:color="auto" w:fill="92CDDC" w:themeFill="accent5" w:themeFillTint="99"/>
            <w:vAlign w:val="top"/>
          </w:tcPr>
          <w:p>
            <w:pPr>
              <w:jc w:val="right"/>
              <w:rPr>
                <w:rFonts w:hint="default" w:asciiTheme="minorEastAsia" w:hAnsiTheme="minorEastAsia" w:eastAsiaTheme="minorEastAsia"/>
                <w:b w:val="0"/>
                <w:bCs w:val="0"/>
                <w:color w:val="1F497D" w:themeColor="text2"/>
                <w:sz w:val="20"/>
                <w:szCs w:val="20"/>
                <w:highlight w:val="none"/>
                <w:lang w:val="en-US" w:eastAsia="zh-CN"/>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汽车与智能制造学院 汇总</w:t>
            </w:r>
          </w:p>
        </w:tc>
        <w:tc>
          <w:tcPr>
            <w:tcW w:w="1238" w:type="dxa"/>
            <w:shd w:val="clear" w:color="auto" w:fill="92CDDC" w:themeFill="accent5" w:themeFillTint="99"/>
            <w:vAlign w:val="top"/>
          </w:tcPr>
          <w:p>
            <w:pPr>
              <w:jc w:val="right"/>
              <w:rPr>
                <w:rFonts w:hint="default" w:asciiTheme="minorEastAsia" w:hAnsiTheme="minorEastAsia" w:eastAsiaTheme="minorEastAsia"/>
                <w:b/>
                <w:bCs/>
                <w:color w:val="1F497D" w:themeColor="text2"/>
                <w:sz w:val="20"/>
                <w:szCs w:val="20"/>
                <w:highlight w:val="none"/>
                <w:lang w:val="en-US" w:eastAsia="zh-CN"/>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356</w:t>
            </w:r>
          </w:p>
        </w:tc>
        <w:tc>
          <w:tcPr>
            <w:tcW w:w="1212" w:type="dxa"/>
            <w:shd w:val="clear" w:color="auto" w:fill="92CDDC" w:themeFill="accent5" w:themeFillTint="99"/>
            <w:vAlign w:val="center"/>
          </w:tcPr>
          <w:p>
            <w:pPr>
              <w:jc w:val="right"/>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3</w:t>
            </w:r>
          </w:p>
        </w:tc>
        <w:tc>
          <w:tcPr>
            <w:tcW w:w="1063" w:type="dxa"/>
            <w:shd w:val="clear" w:color="auto" w:fill="92CDDC" w:themeFill="accent5" w:themeFillTint="99"/>
            <w:vAlign w:val="center"/>
          </w:tcPr>
          <w:p>
            <w:pPr>
              <w:jc w:val="right"/>
              <w:rPr>
                <w:rFonts w:hint="eastAsia" w:asciiTheme="minorEastAsia" w:hAnsiTheme="minorEastAsia" w:eastAsiaTheme="minorEastAsia"/>
                <w:b/>
                <w:bCs/>
                <w:color w:val="1F497D" w:themeColor="text2"/>
                <w:sz w:val="20"/>
                <w:szCs w:val="20"/>
                <w:highlight w:val="none"/>
                <w:lang w:val="en-US" w:eastAsia="zh-CN"/>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0.84</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38" w:type="dxa"/>
            <w:vMerge w:val="restart"/>
            <w:tcBorders>
              <w:left w:val="single" w:color="FFFFFF" w:themeColor="background1" w:sz="8" w:space="0"/>
              <w:right w:val="single" w:color="FFFFFF" w:themeColor="background1" w:sz="24" w:space="0"/>
              <w:insideH w:val="nil"/>
              <w:insideV w:val="single" w:sz="24" w:space="0"/>
            </w:tcBorders>
            <w:shd w:val="clear" w:color="auto" w:fill="4BACC6" w:themeFill="accent5"/>
            <w:vAlign w:val="center"/>
          </w:tcPr>
          <w:p>
            <w:pPr>
              <w:jc w:val="center"/>
              <w:rPr>
                <w:rFonts w:hint="default" w:cs="Times New Roman" w:asciiTheme="minorEastAsia" w:hAnsiTheme="minorEastAsia" w:eastAsiaTheme="minorEastAsia"/>
                <w:b/>
                <w:bCs/>
                <w:i w:val="0"/>
                <w:iCs w:val="0"/>
                <w:color w:val="FFFFFF" w:themeColor="background1"/>
                <w:kern w:val="2"/>
                <w:sz w:val="20"/>
                <w:szCs w:val="20"/>
                <w:lang w:val="en-US" w:eastAsia="zh-CN" w:bidi="ar-SA"/>
                <w14:textFill>
                  <w14:solidFill>
                    <w14:schemeClr w14:val="bg1"/>
                  </w14:solidFill>
                </w14:textFill>
              </w:rPr>
            </w:pPr>
            <w:r>
              <w:rPr>
                <w:rFonts w:hint="eastAsia" w:cs="Times New Roman" w:asciiTheme="minorEastAsia" w:hAnsiTheme="minorEastAsia" w:eastAsiaTheme="minorEastAsia"/>
                <w:b/>
                <w:bCs/>
                <w:i w:val="0"/>
                <w:iCs w:val="0"/>
                <w:color w:val="FFFFFF" w:themeColor="background1"/>
                <w:kern w:val="2"/>
                <w:sz w:val="20"/>
                <w:szCs w:val="20"/>
                <w:lang w:val="en-US" w:eastAsia="zh-CN" w:bidi="ar-SA"/>
                <w14:textFill>
                  <w14:solidFill>
                    <w14:schemeClr w14:val="bg1"/>
                  </w14:solidFill>
                </w14:textFill>
              </w:rPr>
              <w:t>建筑工程学院</w:t>
            </w:r>
          </w:p>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62" w:type="dxa"/>
            <w:shd w:val="clear" w:color="auto" w:fill="D2EAF0" w:themeFill="accent5" w:themeFillTint="3F"/>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ru-RU"/>
              </w:rPr>
              <w:t>建筑工程技术</w:t>
            </w:r>
          </w:p>
        </w:tc>
        <w:tc>
          <w:tcPr>
            <w:tcW w:w="1238" w:type="dxa"/>
            <w:shd w:val="clear" w:color="auto" w:fill="D2EAF0" w:themeFill="accent5" w:themeFillTint="3F"/>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496</w:t>
            </w:r>
          </w:p>
        </w:tc>
        <w:tc>
          <w:tcPr>
            <w:tcW w:w="1212" w:type="dxa"/>
            <w:shd w:val="clear" w:color="auto" w:fill="D2EAF0" w:themeFill="accent5" w:themeFillTint="3F"/>
            <w:vAlign w:val="center"/>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11</w:t>
            </w:r>
          </w:p>
        </w:tc>
        <w:tc>
          <w:tcPr>
            <w:tcW w:w="1063" w:type="dxa"/>
            <w:shd w:val="clear" w:color="auto" w:fill="D2EAF0" w:themeFill="accent5" w:themeFillTint="3F"/>
            <w:vAlign w:val="center"/>
          </w:tcPr>
          <w:p>
            <w:pPr>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2.22</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38"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center"/>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62" w:type="dxa"/>
            <w:shd w:val="clear" w:color="auto" w:fill="92CDDC" w:themeFill="accent5" w:themeFillTint="99"/>
            <w:vAlign w:val="top"/>
          </w:tcPr>
          <w:p>
            <w:pPr>
              <w:jc w:val="center"/>
              <w:rPr>
                <w:rFonts w:hint="eastAsia" w:cs="Times New Roman" w:asciiTheme="minorEastAsia" w:hAnsiTheme="minorEastAsia" w:eastAsiaTheme="minorEastAsia"/>
                <w:kern w:val="2"/>
                <w:sz w:val="20"/>
                <w:szCs w:val="20"/>
                <w:lang w:val="ru-RU" w:eastAsia="zh-CN" w:bidi="ar-SA"/>
              </w:rPr>
            </w:pPr>
            <w:r>
              <w:rPr>
                <w:rFonts w:hint="eastAsia" w:asciiTheme="minorEastAsia" w:hAnsiTheme="minorEastAsia" w:eastAsiaTheme="minorEastAsia"/>
                <w:sz w:val="20"/>
                <w:szCs w:val="20"/>
                <w:lang w:val="ru-RU"/>
              </w:rPr>
              <w:t>工程造价</w:t>
            </w:r>
          </w:p>
        </w:tc>
        <w:tc>
          <w:tcPr>
            <w:tcW w:w="1238" w:type="dxa"/>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79</w:t>
            </w:r>
          </w:p>
        </w:tc>
        <w:tc>
          <w:tcPr>
            <w:tcW w:w="1212" w:type="dxa"/>
            <w:shd w:val="clear" w:color="auto" w:fill="92CDDC" w:themeFill="accent5" w:themeFillTint="99"/>
            <w:vAlign w:val="center"/>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5</w:t>
            </w:r>
          </w:p>
        </w:tc>
        <w:tc>
          <w:tcPr>
            <w:tcW w:w="1063" w:type="dxa"/>
            <w:shd w:val="clear" w:color="auto" w:fill="92CDDC" w:themeFill="accent5" w:themeFillTint="99"/>
            <w:vAlign w:val="center"/>
          </w:tcPr>
          <w:p>
            <w:pPr>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6.33</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rPr>
          <w:trHeight w:val="90" w:hRule="atLeast"/>
        </w:trPr>
        <w:tc>
          <w:tcPr>
            <w:tcW w:w="2338"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top"/>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6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建筑装饰工程技术</w:t>
            </w:r>
          </w:p>
        </w:tc>
        <w:tc>
          <w:tcPr>
            <w:tcW w:w="1238"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143</w:t>
            </w:r>
          </w:p>
        </w:tc>
        <w:tc>
          <w:tcPr>
            <w:tcW w:w="121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center"/>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3</w:t>
            </w:r>
          </w:p>
        </w:tc>
        <w:tc>
          <w:tcPr>
            <w:tcW w:w="1063"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center"/>
          </w:tcPr>
          <w:p>
            <w:pPr>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2.10</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38"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top"/>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62" w:type="dxa"/>
            <w:shd w:val="clear" w:color="auto" w:fill="92CDDC" w:themeFill="accent5" w:themeFillTint="99"/>
            <w:vAlign w:val="top"/>
          </w:tcPr>
          <w:p>
            <w:pPr>
              <w:jc w:val="right"/>
              <w:rPr>
                <w:rFonts w:hint="default" w:cs="Times New Roman" w:asciiTheme="minorEastAsia" w:hAnsiTheme="minorEastAsia" w:eastAsiaTheme="minorEastAsia"/>
                <w:kern w:val="2"/>
                <w:sz w:val="20"/>
                <w:szCs w:val="20"/>
                <w:highlight w:val="none"/>
                <w:lang w:val="en-US" w:eastAsia="zh-CN" w:bidi="ar-SA"/>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建筑工程学院 汇总</w:t>
            </w:r>
          </w:p>
        </w:tc>
        <w:tc>
          <w:tcPr>
            <w:tcW w:w="1238" w:type="dxa"/>
            <w:shd w:val="clear" w:color="auto" w:fill="92CDDC" w:themeFill="accent5" w:themeFillTint="99"/>
            <w:vAlign w:val="top"/>
          </w:tcPr>
          <w:p>
            <w:pPr>
              <w:jc w:val="right"/>
              <w:rPr>
                <w:rFonts w:hint="default" w:cs="Times New Roman" w:asciiTheme="minorEastAsia" w:hAnsiTheme="minorEastAsia" w:eastAsiaTheme="minorEastAsia"/>
                <w:kern w:val="2"/>
                <w:sz w:val="20"/>
                <w:szCs w:val="20"/>
                <w:highlight w:val="none"/>
                <w:lang w:val="en-US" w:eastAsia="zh-CN" w:bidi="ar-SA"/>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718</w:t>
            </w:r>
          </w:p>
        </w:tc>
        <w:tc>
          <w:tcPr>
            <w:tcW w:w="1212" w:type="dxa"/>
            <w:shd w:val="clear" w:color="auto" w:fill="92CDDC" w:themeFill="accent5" w:themeFillTint="99"/>
            <w:vAlign w:val="center"/>
          </w:tcPr>
          <w:p>
            <w:pPr>
              <w:jc w:val="right"/>
              <w:rPr>
                <w:rFonts w:hint="default" w:cs="Times New Roman" w:asciiTheme="minorEastAsia" w:hAnsiTheme="minorEastAsia" w:eastAsiaTheme="minorEastAsia"/>
                <w:kern w:val="2"/>
                <w:sz w:val="20"/>
                <w:szCs w:val="20"/>
                <w:highlight w:val="none"/>
                <w:lang w:val="en-US" w:eastAsia="zh-CN" w:bidi="ar-SA"/>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19</w:t>
            </w:r>
          </w:p>
        </w:tc>
        <w:tc>
          <w:tcPr>
            <w:tcW w:w="1063" w:type="dxa"/>
            <w:shd w:val="clear" w:color="auto" w:fill="92CDDC" w:themeFill="accent5" w:themeFillTint="99"/>
            <w:vAlign w:val="center"/>
          </w:tcPr>
          <w:p>
            <w:pPr>
              <w:jc w:val="right"/>
              <w:rPr>
                <w:rFonts w:hint="eastAsia" w:asciiTheme="minorEastAsia" w:hAnsiTheme="minorEastAsia" w:eastAsiaTheme="minorEastAsia"/>
                <w:b/>
                <w:bCs/>
                <w:color w:val="1F497D" w:themeColor="text2"/>
                <w:sz w:val="20"/>
                <w:szCs w:val="20"/>
                <w:highlight w:val="none"/>
                <w:lang w:val="en-US" w:eastAsia="zh-CN"/>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2.65</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38" w:type="dxa"/>
            <w:vMerge w:val="restart"/>
            <w:tcBorders>
              <w:left w:val="single" w:color="FFFFFF" w:themeColor="background1" w:sz="8" w:space="0"/>
              <w:right w:val="single" w:color="FFFFFF" w:themeColor="background1" w:sz="24" w:space="0"/>
              <w:insideH w:val="nil"/>
              <w:insideV w:val="single" w:sz="24" w:space="0"/>
            </w:tcBorders>
            <w:shd w:val="clear" w:color="auto" w:fill="4BACC6" w:themeFill="accent5"/>
            <w:vAlign w:val="center"/>
          </w:tcPr>
          <w:p>
            <w:pPr>
              <w:jc w:val="center"/>
              <w:rPr>
                <w:rFonts w:hint="default" w:cs="Times New Roman" w:asciiTheme="minorEastAsia" w:hAnsiTheme="minorEastAsia" w:eastAsiaTheme="minorEastAsia"/>
                <w:b/>
                <w:bCs/>
                <w:i w:val="0"/>
                <w:iCs w:val="0"/>
                <w:color w:val="FFFFFF" w:themeColor="background1"/>
                <w:kern w:val="2"/>
                <w:sz w:val="20"/>
                <w:szCs w:val="20"/>
                <w:lang w:val="en-US" w:eastAsia="zh-CN" w:bidi="ar-SA"/>
                <w14:textFill>
                  <w14:solidFill>
                    <w14:schemeClr w14:val="bg1"/>
                  </w14:solidFill>
                </w14:textFill>
              </w:rPr>
            </w:pPr>
            <w:r>
              <w:rPr>
                <w:rFonts w:hint="eastAsia" w:cs="Times New Roman" w:asciiTheme="minorEastAsia" w:hAnsiTheme="minorEastAsia" w:eastAsiaTheme="minorEastAsia"/>
                <w:b/>
                <w:bCs/>
                <w:i w:val="0"/>
                <w:iCs w:val="0"/>
                <w:color w:val="FFFFFF" w:themeColor="background1"/>
                <w:kern w:val="2"/>
                <w:sz w:val="20"/>
                <w:szCs w:val="20"/>
                <w:lang w:val="en-US" w:eastAsia="zh-CN" w:bidi="ar-SA"/>
                <w14:textFill>
                  <w14:solidFill>
                    <w14:schemeClr w14:val="bg1"/>
                  </w14:solidFill>
                </w14:textFill>
              </w:rPr>
              <w:t>信息技术学院</w:t>
            </w:r>
          </w:p>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62" w:type="dxa"/>
            <w:shd w:val="clear" w:color="auto" w:fill="D2EAF0" w:themeFill="accent5" w:themeFillTint="3F"/>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ru-RU" w:eastAsia="zh-CN"/>
              </w:rPr>
              <w:t>计算机应用技术</w:t>
            </w:r>
          </w:p>
        </w:tc>
        <w:tc>
          <w:tcPr>
            <w:tcW w:w="1238" w:type="dxa"/>
            <w:shd w:val="clear" w:color="auto" w:fill="D2EAF0" w:themeFill="accent5" w:themeFillTint="3F"/>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477</w:t>
            </w:r>
          </w:p>
        </w:tc>
        <w:tc>
          <w:tcPr>
            <w:tcW w:w="1212" w:type="dxa"/>
            <w:shd w:val="clear" w:color="auto" w:fill="D2EAF0" w:themeFill="accent5" w:themeFillTint="3F"/>
            <w:vAlign w:val="center"/>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9</w:t>
            </w:r>
          </w:p>
        </w:tc>
        <w:tc>
          <w:tcPr>
            <w:tcW w:w="1063" w:type="dxa"/>
            <w:shd w:val="clear" w:color="auto" w:fill="D2EAF0" w:themeFill="accent5" w:themeFillTint="3F"/>
            <w:vAlign w:val="center"/>
          </w:tcPr>
          <w:p>
            <w:pPr>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1.89</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38"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center"/>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62" w:type="dxa"/>
            <w:shd w:val="clear" w:color="auto" w:fill="92CDDC" w:themeFill="accent5" w:themeFillTint="99"/>
            <w:vAlign w:val="top"/>
          </w:tcPr>
          <w:p>
            <w:pPr>
              <w:jc w:val="center"/>
              <w:rPr>
                <w:rFonts w:hint="eastAsia" w:cs="Times New Roman" w:asciiTheme="minorEastAsia" w:hAnsiTheme="minorEastAsia" w:eastAsiaTheme="minorEastAsia"/>
                <w:kern w:val="2"/>
                <w:sz w:val="20"/>
                <w:szCs w:val="20"/>
                <w:lang w:val="ru-RU" w:eastAsia="zh-CN" w:bidi="ar-SA"/>
              </w:rPr>
            </w:pPr>
            <w:r>
              <w:rPr>
                <w:rFonts w:hint="eastAsia" w:asciiTheme="minorEastAsia" w:hAnsiTheme="minorEastAsia" w:eastAsiaTheme="minorEastAsia"/>
                <w:sz w:val="20"/>
                <w:szCs w:val="20"/>
                <w:lang w:val="en-US" w:eastAsia="zh-CN"/>
              </w:rPr>
              <w:t>计算机网络技术</w:t>
            </w:r>
          </w:p>
        </w:tc>
        <w:tc>
          <w:tcPr>
            <w:tcW w:w="1238" w:type="dxa"/>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79</w:t>
            </w:r>
          </w:p>
        </w:tc>
        <w:tc>
          <w:tcPr>
            <w:tcW w:w="1212" w:type="dxa"/>
            <w:shd w:val="clear" w:color="auto" w:fill="92CDDC" w:themeFill="accent5" w:themeFillTint="99"/>
            <w:vAlign w:val="center"/>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5</w:t>
            </w:r>
          </w:p>
        </w:tc>
        <w:tc>
          <w:tcPr>
            <w:tcW w:w="1063" w:type="dxa"/>
            <w:shd w:val="clear" w:color="auto" w:fill="92CDDC" w:themeFill="accent5" w:themeFillTint="99"/>
            <w:vAlign w:val="center"/>
          </w:tcPr>
          <w:p>
            <w:pPr>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6.33</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38"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top"/>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6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ru-RU" w:eastAsia="zh-CN"/>
              </w:rPr>
              <w:t>移动互联</w:t>
            </w:r>
            <w:r>
              <w:rPr>
                <w:rFonts w:hint="eastAsia" w:asciiTheme="minorEastAsia" w:hAnsiTheme="minorEastAsia" w:eastAsiaTheme="minorEastAsia"/>
                <w:sz w:val="20"/>
                <w:szCs w:val="20"/>
                <w:lang w:val="en-US" w:eastAsia="zh-CN"/>
              </w:rPr>
              <w:t>应用</w:t>
            </w:r>
            <w:r>
              <w:rPr>
                <w:rFonts w:hint="eastAsia" w:asciiTheme="minorEastAsia" w:hAnsiTheme="minorEastAsia" w:eastAsiaTheme="minorEastAsia"/>
                <w:sz w:val="20"/>
                <w:szCs w:val="20"/>
                <w:lang w:val="ru-RU" w:eastAsia="zh-CN"/>
              </w:rPr>
              <w:t>技术</w:t>
            </w:r>
          </w:p>
        </w:tc>
        <w:tc>
          <w:tcPr>
            <w:tcW w:w="1238"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40</w:t>
            </w:r>
          </w:p>
        </w:tc>
        <w:tc>
          <w:tcPr>
            <w:tcW w:w="121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center"/>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2</w:t>
            </w:r>
          </w:p>
        </w:tc>
        <w:tc>
          <w:tcPr>
            <w:tcW w:w="1063"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center"/>
          </w:tcPr>
          <w:p>
            <w:pPr>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5.00</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38"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top"/>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62" w:type="dxa"/>
            <w:shd w:val="clear" w:color="auto" w:fill="92CDDC" w:themeFill="accent5" w:themeFillTint="99"/>
            <w:vAlign w:val="top"/>
          </w:tcPr>
          <w:p>
            <w:pPr>
              <w:jc w:val="right"/>
              <w:rPr>
                <w:rFonts w:hint="default" w:cs="Times New Roman" w:asciiTheme="minorEastAsia" w:hAnsiTheme="minorEastAsia" w:eastAsiaTheme="minorEastAsia"/>
                <w:kern w:val="2"/>
                <w:sz w:val="20"/>
                <w:szCs w:val="20"/>
                <w:highlight w:val="none"/>
                <w:lang w:val="en-US" w:eastAsia="zh-CN" w:bidi="ar-SA"/>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信息技术学院 汇总</w:t>
            </w:r>
          </w:p>
        </w:tc>
        <w:tc>
          <w:tcPr>
            <w:tcW w:w="1238" w:type="dxa"/>
            <w:shd w:val="clear" w:color="auto" w:fill="92CDDC" w:themeFill="accent5" w:themeFillTint="99"/>
            <w:vAlign w:val="top"/>
          </w:tcPr>
          <w:p>
            <w:pPr>
              <w:jc w:val="right"/>
              <w:rPr>
                <w:rFonts w:hint="default" w:cs="Times New Roman" w:asciiTheme="minorEastAsia" w:hAnsiTheme="minorEastAsia" w:eastAsiaTheme="minorEastAsia"/>
                <w:kern w:val="2"/>
                <w:sz w:val="20"/>
                <w:szCs w:val="20"/>
                <w:highlight w:val="none"/>
                <w:lang w:val="en-US" w:eastAsia="zh-CN" w:bidi="ar-SA"/>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596</w:t>
            </w:r>
          </w:p>
        </w:tc>
        <w:tc>
          <w:tcPr>
            <w:tcW w:w="1212" w:type="dxa"/>
            <w:shd w:val="clear" w:color="auto" w:fill="92CDDC" w:themeFill="accent5" w:themeFillTint="99"/>
            <w:vAlign w:val="center"/>
          </w:tcPr>
          <w:p>
            <w:pPr>
              <w:jc w:val="right"/>
              <w:rPr>
                <w:rFonts w:hint="default" w:cs="Times New Roman" w:asciiTheme="minorEastAsia" w:hAnsiTheme="minorEastAsia" w:eastAsiaTheme="minorEastAsia"/>
                <w:kern w:val="2"/>
                <w:sz w:val="20"/>
                <w:szCs w:val="20"/>
                <w:highlight w:val="none"/>
                <w:lang w:val="en-US" w:eastAsia="zh-CN" w:bidi="ar-SA"/>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16</w:t>
            </w:r>
          </w:p>
        </w:tc>
        <w:tc>
          <w:tcPr>
            <w:tcW w:w="1063" w:type="dxa"/>
            <w:shd w:val="clear" w:color="auto" w:fill="92CDDC" w:themeFill="accent5" w:themeFillTint="99"/>
            <w:vAlign w:val="center"/>
          </w:tcPr>
          <w:p>
            <w:pPr>
              <w:jc w:val="right"/>
              <w:rPr>
                <w:rFonts w:hint="eastAsia" w:asciiTheme="minorEastAsia" w:hAnsiTheme="minorEastAsia" w:eastAsiaTheme="minorEastAsia"/>
                <w:b/>
                <w:bCs/>
                <w:color w:val="1F497D" w:themeColor="text2"/>
                <w:sz w:val="20"/>
                <w:szCs w:val="20"/>
                <w:highlight w:val="none"/>
                <w:lang w:val="en-US" w:eastAsia="zh-CN"/>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2.68</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38" w:type="dxa"/>
            <w:tcBorders>
              <w:top w:val="single" w:color="FFFFFF" w:themeColor="background1" w:sz="8" w:space="0"/>
              <w:left w:val="single" w:color="FFFFFF" w:themeColor="background1" w:sz="8" w:space="0"/>
              <w:bottom w:val="single" w:color="FFFFFF" w:themeColor="background1" w:sz="8" w:space="0"/>
              <w:right w:val="single" w:color="FFFFFF" w:themeColor="background1" w:sz="24" w:space="0"/>
              <w:insideH w:val="single" w:sz="8" w:space="0"/>
              <w:insideV w:val="single" w:sz="24" w:space="0"/>
            </w:tcBorders>
            <w:shd w:val="clear" w:color="auto" w:fill="4BACC6" w:themeFill="accent5"/>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t>总计</w:t>
            </w:r>
          </w:p>
        </w:tc>
        <w:tc>
          <w:tcPr>
            <w:tcW w:w="266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cPr>
          <w:p>
            <w:pPr>
              <w:jc w:val="center"/>
              <w:rPr>
                <w:rFonts w:asciiTheme="minorEastAsia" w:hAnsiTheme="minorEastAsia" w:eastAsiaTheme="minorEastAsia"/>
                <w:sz w:val="20"/>
                <w:szCs w:val="20"/>
                <w:lang w:val="ru-RU"/>
              </w:rPr>
            </w:pPr>
          </w:p>
        </w:tc>
        <w:tc>
          <w:tcPr>
            <w:tcW w:w="1238"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vAlign w:val="top"/>
          </w:tcPr>
          <w:p>
            <w:pPr>
              <w:jc w:val="center"/>
              <w:rPr>
                <w:rFonts w:hint="default" w:asciiTheme="minorEastAsia" w:hAnsiTheme="minorEastAsia" w:eastAsiaTheme="minorEastAsia"/>
                <w:b/>
                <w:bCs/>
                <w:sz w:val="20"/>
                <w:szCs w:val="20"/>
                <w:lang w:val="en-US" w:eastAsia="zh-CN"/>
              </w:rPr>
            </w:pPr>
            <w:r>
              <w:rPr>
                <w:rFonts w:hint="eastAsia" w:asciiTheme="minorEastAsia" w:hAnsiTheme="minorEastAsia" w:eastAsiaTheme="minorEastAsia"/>
                <w:b/>
                <w:bCs/>
                <w:sz w:val="20"/>
                <w:szCs w:val="20"/>
                <w:lang w:val="en-US" w:eastAsia="zh-CN"/>
              </w:rPr>
              <w:t>4022</w:t>
            </w:r>
          </w:p>
        </w:tc>
        <w:tc>
          <w:tcPr>
            <w:tcW w:w="121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vAlign w:val="top"/>
          </w:tcPr>
          <w:p>
            <w:pPr>
              <w:jc w:val="center"/>
              <w:rPr>
                <w:rFonts w:hint="default" w:asciiTheme="minorEastAsia" w:hAnsiTheme="minorEastAsia" w:eastAsiaTheme="minorEastAsia"/>
                <w:b/>
                <w:bCs/>
                <w:sz w:val="20"/>
                <w:szCs w:val="20"/>
                <w:lang w:val="en-US" w:eastAsia="zh-CN"/>
              </w:rPr>
            </w:pPr>
            <w:r>
              <w:rPr>
                <w:rFonts w:hint="eastAsia" w:asciiTheme="minorEastAsia" w:hAnsiTheme="minorEastAsia" w:eastAsiaTheme="minorEastAsia"/>
                <w:b/>
                <w:bCs/>
                <w:sz w:val="20"/>
                <w:szCs w:val="20"/>
                <w:lang w:val="en-US" w:eastAsia="zh-CN"/>
              </w:rPr>
              <w:t>124</w:t>
            </w:r>
          </w:p>
        </w:tc>
        <w:tc>
          <w:tcPr>
            <w:tcW w:w="1063"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b/>
                <w:bCs/>
                <w:sz w:val="20"/>
                <w:szCs w:val="20"/>
                <w:lang w:val="en-US" w:eastAsia="zh-CN"/>
              </w:rPr>
              <w:t>3.08</w:t>
            </w:r>
          </w:p>
        </w:tc>
      </w:tr>
    </w:tbl>
    <w:p>
      <w:pPr>
        <w:numPr>
          <w:ilvl w:val="0"/>
          <w:numId w:val="0"/>
        </w:numPr>
        <w:ind w:leftChars="0"/>
        <w:jc w:val="left"/>
        <w:rPr>
          <w:rFonts w:hint="eastAsia"/>
          <w:sz w:val="28"/>
          <w:szCs w:val="28"/>
          <w:lang w:val="en-US" w:eastAsia="zh-CN"/>
        </w:rPr>
      </w:pPr>
    </w:p>
    <w:p>
      <w:pPr>
        <w:numPr>
          <w:ilvl w:val="0"/>
          <w:numId w:val="0"/>
        </w:numPr>
        <w:ind w:leftChars="0"/>
        <w:jc w:val="left"/>
        <w:rPr>
          <w:rFonts w:hint="eastAsia"/>
          <w:sz w:val="28"/>
          <w:szCs w:val="28"/>
          <w:lang w:val="en-US" w:eastAsia="zh-CN"/>
        </w:rPr>
      </w:pPr>
      <w:r>
        <w:rPr>
          <w:rFonts w:hint="eastAsia"/>
          <w:sz w:val="28"/>
          <w:szCs w:val="28"/>
          <w:lang w:val="en-US" w:eastAsia="zh-CN"/>
        </w:rPr>
        <w:t>二、升学评价与反馈</w:t>
      </w:r>
    </w:p>
    <w:p>
      <w:pPr>
        <w:numPr>
          <w:ilvl w:val="0"/>
          <w:numId w:val="0"/>
        </w:numPr>
        <w:ind w:leftChars="0"/>
        <w:jc w:val="left"/>
        <w:rPr>
          <w:rFonts w:hint="eastAsia"/>
          <w:sz w:val="28"/>
          <w:szCs w:val="28"/>
          <w:lang w:val="en-US" w:eastAsia="zh-CN"/>
        </w:rPr>
      </w:pPr>
      <w:r>
        <w:rPr>
          <w:rFonts w:hint="eastAsia"/>
          <w:sz w:val="28"/>
          <w:szCs w:val="28"/>
          <w:lang w:val="en-US" w:eastAsia="zh-CN"/>
        </w:rPr>
        <w:t>（一）毕业生升学原因</w:t>
      </w:r>
    </w:p>
    <w:p>
      <w:pPr>
        <w:ind w:firstLine="560" w:firstLineChars="200"/>
        <w:jc w:val="left"/>
        <w:rPr>
          <w:rFonts w:hint="default"/>
          <w:sz w:val="28"/>
          <w:szCs w:val="28"/>
          <w:lang w:val="en-US" w:eastAsia="zh-CN"/>
        </w:rPr>
      </w:pPr>
      <w:r>
        <w:rPr>
          <w:rFonts w:hint="eastAsia"/>
          <w:sz w:val="28"/>
          <w:szCs w:val="28"/>
          <w:lang w:val="ru-RU"/>
        </w:rPr>
        <w:t>根据调研数据统计，20</w:t>
      </w:r>
      <w:r>
        <w:rPr>
          <w:rFonts w:hint="eastAsia"/>
          <w:sz w:val="28"/>
          <w:szCs w:val="28"/>
          <w:lang w:val="en-US" w:eastAsia="zh-CN"/>
        </w:rPr>
        <w:t>23</w:t>
      </w:r>
      <w:r>
        <w:rPr>
          <w:rFonts w:hint="eastAsia"/>
          <w:sz w:val="28"/>
          <w:szCs w:val="28"/>
          <w:lang w:val="ru-RU"/>
        </w:rPr>
        <w:t>届毕业生</w:t>
      </w:r>
      <w:r>
        <w:rPr>
          <w:rFonts w:hint="eastAsia"/>
          <w:sz w:val="28"/>
          <w:szCs w:val="28"/>
          <w:lang w:val="en-US" w:eastAsia="zh-CN"/>
        </w:rPr>
        <w:t>境内</w:t>
      </w:r>
      <w:r>
        <w:rPr>
          <w:rFonts w:hint="eastAsia"/>
          <w:sz w:val="28"/>
          <w:szCs w:val="28"/>
          <w:lang w:val="ru-RU"/>
        </w:rPr>
        <w:t>升学的主要原因是</w:t>
      </w:r>
      <w:r>
        <w:rPr>
          <w:rFonts w:hint="eastAsia"/>
          <w:sz w:val="28"/>
          <w:szCs w:val="28"/>
          <w:lang w:val="ru-RU" w:eastAsia="zh-CN"/>
        </w:rPr>
        <w:t>“</w:t>
      </w:r>
      <w:r>
        <w:rPr>
          <w:rFonts w:hint="eastAsia"/>
          <w:sz w:val="28"/>
          <w:szCs w:val="28"/>
          <w:lang w:val="en-US" w:eastAsia="zh-CN"/>
        </w:rPr>
        <w:t>提升学历层次（56.90%）</w:t>
      </w:r>
      <w:r>
        <w:rPr>
          <w:rFonts w:hint="eastAsia"/>
          <w:sz w:val="28"/>
          <w:szCs w:val="28"/>
          <w:lang w:val="ru-RU" w:eastAsia="zh-CN"/>
        </w:rPr>
        <w:t>”，</w:t>
      </w:r>
      <w:r>
        <w:rPr>
          <w:rFonts w:hint="eastAsia"/>
          <w:sz w:val="28"/>
          <w:szCs w:val="28"/>
          <w:lang w:val="ru-RU"/>
        </w:rPr>
        <w:t>其次是</w:t>
      </w:r>
      <w:r>
        <w:rPr>
          <w:rFonts w:hint="eastAsia"/>
          <w:sz w:val="28"/>
          <w:szCs w:val="28"/>
          <w:lang w:val="ru-RU" w:eastAsia="zh-CN"/>
        </w:rPr>
        <w:t>“</w:t>
      </w:r>
      <w:r>
        <w:rPr>
          <w:rFonts w:hint="eastAsia"/>
          <w:sz w:val="28"/>
          <w:szCs w:val="28"/>
          <w:lang w:val="en-US" w:eastAsia="zh-CN"/>
        </w:rPr>
        <w:t>对专业感兴趣，愿深入学习</w:t>
      </w:r>
      <w:r>
        <w:rPr>
          <w:rFonts w:hint="eastAsia"/>
          <w:sz w:val="28"/>
          <w:szCs w:val="28"/>
          <w:lang w:val="ru-RU" w:eastAsia="zh-CN"/>
        </w:rPr>
        <w:t>”（</w:t>
      </w:r>
      <w:r>
        <w:rPr>
          <w:rFonts w:hint="eastAsia"/>
          <w:sz w:val="28"/>
          <w:szCs w:val="28"/>
          <w:lang w:val="en-US" w:eastAsia="zh-CN"/>
        </w:rPr>
        <w:t>12.07%</w:t>
      </w:r>
      <w:r>
        <w:rPr>
          <w:rFonts w:hint="eastAsia"/>
          <w:sz w:val="28"/>
          <w:szCs w:val="28"/>
          <w:lang w:val="ru-RU" w:eastAsia="zh-CN"/>
        </w:rPr>
        <w:t>），</w:t>
      </w:r>
      <w:r>
        <w:rPr>
          <w:rFonts w:hint="eastAsia"/>
          <w:sz w:val="28"/>
          <w:szCs w:val="28"/>
          <w:lang w:val="en-US" w:eastAsia="zh-CN"/>
        </w:rPr>
        <w:t>第三是“提升综合能力”（10.34%）。</w:t>
      </w:r>
    </w:p>
    <w:p>
      <w:pPr>
        <w:pStyle w:val="6"/>
        <w:jc w:val="center"/>
        <w:rPr>
          <w:rFonts w:ascii="宋体" w:hAnsi="宋体" w:eastAsia="宋体" w:cs="宋体"/>
          <w:sz w:val="20"/>
          <w:szCs w:val="20"/>
          <w:highlight w:val="none"/>
        </w:rPr>
      </w:pPr>
      <w:r>
        <w:rPr>
          <w:rFonts w:hint="eastAsia" w:eastAsia="宋体"/>
          <w:sz w:val="28"/>
          <w:szCs w:val="28"/>
          <w:lang w:val="ru-RU" w:eastAsia="zh-CN"/>
        </w:rPr>
        <w:drawing>
          <wp:inline distT="0" distB="0" distL="114300" distR="114300">
            <wp:extent cx="5539105" cy="2254885"/>
            <wp:effectExtent l="4445" t="4445" r="19050" b="7620"/>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Pr>
          <w:rFonts w:hint="eastAsia"/>
          <w:sz w:val="28"/>
          <w:szCs w:val="28"/>
          <w:lang w:val="en-US" w:eastAsia="zh-CN"/>
        </w:rPr>
        <w:t xml:space="preserve">  </w:t>
      </w:r>
      <w:r>
        <w:rPr>
          <w:rFonts w:ascii="宋体" w:hAnsi="宋体" w:eastAsia="宋体" w:cs="宋体"/>
          <w:sz w:val="20"/>
          <w:szCs w:val="20"/>
          <w:highlight w:val="none"/>
        </w:rPr>
        <w:t>图</w:t>
      </w:r>
      <w:r>
        <w:rPr>
          <w:rFonts w:hint="eastAsia" w:ascii="宋体" w:hAnsi="宋体" w:cs="宋体"/>
          <w:sz w:val="20"/>
          <w:szCs w:val="20"/>
          <w:highlight w:val="none"/>
          <w:lang w:val="en-US" w:eastAsia="zh-CN"/>
        </w:rPr>
        <w:t>4</w:t>
      </w:r>
      <w:r>
        <w:rPr>
          <w:rFonts w:ascii="宋体" w:hAnsi="宋体" w:eastAsia="宋体" w:cs="宋体"/>
          <w:sz w:val="20"/>
          <w:szCs w:val="20"/>
          <w:highlight w:val="none"/>
        </w:rPr>
        <w:t>-</w:t>
      </w:r>
      <w:r>
        <w:rPr>
          <w:rFonts w:hint="eastAsia" w:ascii="宋体" w:hAnsi="宋体" w:cs="宋体"/>
          <w:sz w:val="20"/>
          <w:szCs w:val="20"/>
          <w:highlight w:val="none"/>
          <w:lang w:val="en-US" w:eastAsia="zh-CN"/>
        </w:rPr>
        <w:t>1</w:t>
      </w:r>
      <w:r>
        <w:rPr>
          <w:rFonts w:ascii="宋体" w:hAnsi="宋体" w:eastAsia="宋体" w:cs="宋体"/>
          <w:sz w:val="20"/>
          <w:szCs w:val="20"/>
          <w:highlight w:val="none"/>
        </w:rPr>
        <w:t> 20</w:t>
      </w:r>
      <w:r>
        <w:rPr>
          <w:rFonts w:hint="eastAsia" w:ascii="宋体" w:hAnsi="宋体" w:cs="宋体"/>
          <w:sz w:val="20"/>
          <w:szCs w:val="20"/>
          <w:highlight w:val="none"/>
          <w:lang w:val="en-US" w:eastAsia="zh-CN"/>
        </w:rPr>
        <w:t>23</w:t>
      </w:r>
      <w:r>
        <w:rPr>
          <w:rFonts w:ascii="宋体" w:hAnsi="宋体" w:eastAsia="宋体" w:cs="宋体"/>
          <w:sz w:val="20"/>
          <w:szCs w:val="20"/>
          <w:highlight w:val="none"/>
        </w:rPr>
        <w:t>届毕业生升学的原因</w:t>
      </w:r>
    </w:p>
    <w:p>
      <w:pPr>
        <w:pStyle w:val="6"/>
        <w:rPr>
          <w:rFonts w:hint="default"/>
          <w:lang w:val="en-US" w:eastAsia="zh-CN"/>
        </w:rPr>
      </w:pPr>
    </w:p>
    <w:p>
      <w:pPr>
        <w:numPr>
          <w:ilvl w:val="0"/>
          <w:numId w:val="0"/>
        </w:numPr>
        <w:ind w:leftChars="0"/>
        <w:jc w:val="left"/>
        <w:rPr>
          <w:rFonts w:hint="eastAsia"/>
          <w:sz w:val="28"/>
          <w:szCs w:val="28"/>
          <w:lang w:val="en-US" w:eastAsia="zh-CN"/>
        </w:rPr>
      </w:pPr>
      <w:r>
        <w:rPr>
          <w:rFonts w:hint="eastAsia"/>
          <w:sz w:val="28"/>
          <w:szCs w:val="28"/>
          <w:lang w:val="en-US" w:eastAsia="zh-CN"/>
        </w:rPr>
        <w:t>（二）升学专业一致性</w:t>
      </w:r>
    </w:p>
    <w:p>
      <w:pPr>
        <w:ind w:firstLine="560" w:firstLineChars="200"/>
        <w:jc w:val="left"/>
        <w:rPr>
          <w:rFonts w:hint="eastAsia"/>
          <w:sz w:val="28"/>
          <w:szCs w:val="28"/>
          <w:lang w:val="ru-RU"/>
        </w:rPr>
      </w:pPr>
      <w:r>
        <w:rPr>
          <w:rFonts w:hint="eastAsia"/>
          <w:sz w:val="28"/>
          <w:szCs w:val="28"/>
          <w:lang w:val="ru-RU"/>
        </w:rPr>
        <w:t>根据调研数据统计，</w:t>
      </w:r>
      <w:r>
        <w:rPr>
          <w:rFonts w:hint="eastAsia"/>
          <w:sz w:val="28"/>
          <w:szCs w:val="28"/>
          <w:lang w:val="en-US" w:eastAsia="zh-CN"/>
        </w:rPr>
        <w:t>2023</w:t>
      </w:r>
      <w:r>
        <w:rPr>
          <w:rFonts w:hint="eastAsia"/>
          <w:sz w:val="28"/>
          <w:szCs w:val="28"/>
          <w:lang w:val="ru-RU"/>
        </w:rPr>
        <w:t>届毕业生升学前后专业的一致性为</w:t>
      </w:r>
      <w:r>
        <w:rPr>
          <w:rFonts w:hint="eastAsia"/>
          <w:sz w:val="28"/>
          <w:szCs w:val="28"/>
          <w:lang w:val="en-US" w:eastAsia="zh-CN"/>
        </w:rPr>
        <w:t>79.31</w:t>
      </w:r>
      <w:r>
        <w:rPr>
          <w:sz w:val="28"/>
          <w:szCs w:val="28"/>
          <w:lang w:val="ru-RU"/>
        </w:rPr>
        <w:t>%</w:t>
      </w:r>
      <w:r>
        <w:rPr>
          <w:rFonts w:hint="eastAsia"/>
          <w:sz w:val="28"/>
          <w:szCs w:val="28"/>
          <w:lang w:val="ru-RU"/>
        </w:rPr>
        <w:t>，其中</w:t>
      </w:r>
      <w:r>
        <w:rPr>
          <w:sz w:val="28"/>
          <w:szCs w:val="28"/>
          <w:lang w:val="ru-RU"/>
        </w:rPr>
        <w:t>“</w:t>
      </w:r>
      <w:r>
        <w:rPr>
          <w:rFonts w:hint="eastAsia"/>
          <w:sz w:val="28"/>
          <w:szCs w:val="28"/>
          <w:lang w:val="ru-RU"/>
        </w:rPr>
        <w:t>非常一致</w:t>
      </w:r>
      <w:r>
        <w:rPr>
          <w:sz w:val="28"/>
          <w:szCs w:val="28"/>
          <w:lang w:val="ru-RU"/>
        </w:rPr>
        <w:t>”</w:t>
      </w:r>
      <w:r>
        <w:rPr>
          <w:rFonts w:hint="eastAsia"/>
          <w:sz w:val="28"/>
          <w:szCs w:val="28"/>
          <w:lang w:val="ru-RU"/>
        </w:rPr>
        <w:t>（</w:t>
      </w:r>
      <w:r>
        <w:rPr>
          <w:rFonts w:hint="eastAsia"/>
          <w:sz w:val="28"/>
          <w:szCs w:val="28"/>
          <w:lang w:val="en-US" w:eastAsia="zh-CN"/>
        </w:rPr>
        <w:t>39.66</w:t>
      </w:r>
      <w:r>
        <w:rPr>
          <w:sz w:val="28"/>
          <w:szCs w:val="28"/>
          <w:lang w:val="ru-RU"/>
        </w:rPr>
        <w:t>%</w:t>
      </w:r>
      <w:r>
        <w:rPr>
          <w:rFonts w:hint="eastAsia"/>
          <w:sz w:val="28"/>
          <w:szCs w:val="28"/>
          <w:lang w:val="ru-RU"/>
        </w:rPr>
        <w:t>）、</w:t>
      </w:r>
      <w:r>
        <w:rPr>
          <w:sz w:val="28"/>
          <w:szCs w:val="28"/>
          <w:lang w:val="ru-RU"/>
        </w:rPr>
        <w:t xml:space="preserve"> “</w:t>
      </w:r>
      <w:r>
        <w:rPr>
          <w:rFonts w:hint="eastAsia"/>
          <w:sz w:val="28"/>
          <w:szCs w:val="28"/>
          <w:lang w:val="en-US" w:eastAsia="zh-CN"/>
        </w:rPr>
        <w:t>比较</w:t>
      </w:r>
      <w:r>
        <w:rPr>
          <w:rFonts w:hint="eastAsia"/>
          <w:sz w:val="28"/>
          <w:szCs w:val="28"/>
          <w:lang w:val="ru-RU"/>
        </w:rPr>
        <w:t>一致</w:t>
      </w:r>
      <w:r>
        <w:rPr>
          <w:sz w:val="28"/>
          <w:szCs w:val="28"/>
          <w:lang w:val="ru-RU"/>
        </w:rPr>
        <w:t>”</w:t>
      </w:r>
      <w:r>
        <w:rPr>
          <w:rFonts w:hint="eastAsia"/>
          <w:sz w:val="28"/>
          <w:szCs w:val="28"/>
          <w:lang w:val="ru-RU" w:eastAsia="zh-CN"/>
        </w:rPr>
        <w:t>（</w:t>
      </w:r>
      <w:r>
        <w:rPr>
          <w:rFonts w:hint="eastAsia"/>
          <w:sz w:val="28"/>
          <w:szCs w:val="28"/>
          <w:lang w:val="en-US" w:eastAsia="zh-CN"/>
        </w:rPr>
        <w:t>27.58</w:t>
      </w:r>
      <w:r>
        <w:rPr>
          <w:sz w:val="28"/>
          <w:szCs w:val="28"/>
          <w:lang w:val="ru-RU"/>
        </w:rPr>
        <w:t>%</w:t>
      </w:r>
      <w:r>
        <w:rPr>
          <w:rFonts w:hint="eastAsia"/>
          <w:sz w:val="28"/>
          <w:szCs w:val="28"/>
          <w:lang w:val="ru-RU"/>
        </w:rPr>
        <w:t>）。说明大部分毕业生在升学的时候选择与自己之前所学专业一致或者相近的专业。</w:t>
      </w:r>
    </w:p>
    <w:p>
      <w:pPr>
        <w:jc w:val="left"/>
        <w:rPr>
          <w:sz w:val="28"/>
          <w:szCs w:val="28"/>
          <w:lang w:val="ru-RU"/>
        </w:rPr>
      </w:pPr>
      <w:r>
        <w:rPr>
          <w:rFonts w:hint="eastAsia"/>
          <w:sz w:val="28"/>
          <w:szCs w:val="28"/>
          <w:lang w:val="en-US" w:eastAsia="zh-CN"/>
        </w:rPr>
        <w:t xml:space="preserve">     </w:t>
      </w:r>
      <w:r>
        <w:rPr>
          <w:sz w:val="28"/>
          <w:szCs w:val="28"/>
        </w:rPr>
        <w:drawing>
          <wp:inline distT="0" distB="0" distL="0" distR="0">
            <wp:extent cx="4476750" cy="2302510"/>
            <wp:effectExtent l="4445" t="4445" r="14605" b="17145"/>
            <wp:docPr id="39" name="图表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pPr>
        <w:jc w:val="center"/>
        <w:rPr>
          <w:rFonts w:hint="eastAsia" w:asciiTheme="minorEastAsia" w:hAnsiTheme="minorEastAsia" w:eastAsiaTheme="minorEastAsia"/>
          <w:sz w:val="20"/>
          <w:szCs w:val="20"/>
          <w:lang w:val="ru-RU"/>
        </w:rPr>
      </w:pPr>
      <w:r>
        <w:rPr>
          <w:rFonts w:hint="eastAsia" w:asciiTheme="minorEastAsia" w:hAnsiTheme="minorEastAsia" w:eastAsiaTheme="minorEastAsia"/>
          <w:sz w:val="20"/>
          <w:szCs w:val="20"/>
          <w:lang w:val="ru-RU"/>
        </w:rPr>
        <w:t>图</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4</w:t>
      </w:r>
      <w:r>
        <w:rPr>
          <w:rFonts w:asciiTheme="minorEastAsia" w:hAnsiTheme="minorEastAsia" w:eastAsiaTheme="minorEastAsia"/>
          <w:sz w:val="20"/>
          <w:szCs w:val="20"/>
          <w:lang w:val="ru-RU"/>
        </w:rPr>
        <w:t>-</w:t>
      </w:r>
      <w:r>
        <w:rPr>
          <w:rFonts w:hint="eastAsia" w:asciiTheme="minorEastAsia" w:hAnsiTheme="minorEastAsia" w:eastAsiaTheme="minorEastAsia"/>
          <w:sz w:val="20"/>
          <w:szCs w:val="20"/>
          <w:lang w:val="en-US" w:eastAsia="zh-CN"/>
        </w:rPr>
        <w:t xml:space="preserve">2 </w:t>
      </w:r>
      <w:r>
        <w:rPr>
          <w:rFonts w:asciiTheme="minorEastAsia" w:hAnsiTheme="minorEastAsia" w:eastAsiaTheme="minorEastAsia"/>
          <w:sz w:val="20"/>
          <w:szCs w:val="20"/>
          <w:lang w:val="ru-RU"/>
        </w:rPr>
        <w:t xml:space="preserve"> 20</w:t>
      </w:r>
      <w:r>
        <w:rPr>
          <w:rFonts w:hint="eastAsia" w:asciiTheme="minorEastAsia" w:hAnsiTheme="minorEastAsia" w:eastAsiaTheme="minorEastAsia"/>
          <w:sz w:val="20"/>
          <w:szCs w:val="20"/>
          <w:lang w:val="en-US" w:eastAsia="zh-CN"/>
        </w:rPr>
        <w:t>23</w:t>
      </w:r>
      <w:r>
        <w:rPr>
          <w:rFonts w:hint="eastAsia" w:asciiTheme="minorEastAsia" w:hAnsiTheme="minorEastAsia" w:eastAsiaTheme="minorEastAsia"/>
          <w:sz w:val="20"/>
          <w:szCs w:val="20"/>
          <w:lang w:val="ru-RU"/>
        </w:rPr>
        <w:t>届毕业生升学前后专业的一致性</w:t>
      </w:r>
    </w:p>
    <w:p>
      <w:pPr>
        <w:numPr>
          <w:ilvl w:val="0"/>
          <w:numId w:val="0"/>
        </w:numPr>
        <w:jc w:val="left"/>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注：专业的一致性=非常一致+比较一致+一致</w:t>
      </w:r>
    </w:p>
    <w:p>
      <w:pPr>
        <w:numPr>
          <w:ilvl w:val="0"/>
          <w:numId w:val="0"/>
        </w:numPr>
        <w:jc w:val="left"/>
        <w:rPr>
          <w:rFonts w:hint="default" w:asciiTheme="minorEastAsia" w:hAnsiTheme="minorEastAsia" w:eastAsiaTheme="minorEastAsia"/>
          <w:sz w:val="20"/>
          <w:szCs w:val="20"/>
          <w:lang w:val="en-US" w:eastAsia="zh-CN"/>
        </w:rPr>
      </w:pPr>
    </w:p>
    <w:p>
      <w:pPr>
        <w:pStyle w:val="6"/>
        <w:rPr>
          <w:rFonts w:hint="default" w:asciiTheme="minorEastAsia" w:hAnsiTheme="minorEastAsia" w:eastAsiaTheme="minorEastAsia"/>
          <w:sz w:val="20"/>
          <w:szCs w:val="20"/>
          <w:lang w:val="en-US" w:eastAsia="zh-CN"/>
        </w:rPr>
      </w:pPr>
    </w:p>
    <w:p>
      <w:pPr>
        <w:pStyle w:val="2"/>
        <w:rPr>
          <w:rFonts w:hint="default" w:asciiTheme="minorEastAsia" w:hAnsiTheme="minorEastAsia" w:eastAsiaTheme="minorEastAsia"/>
          <w:sz w:val="20"/>
          <w:szCs w:val="20"/>
          <w:lang w:val="en-US" w:eastAsia="zh-CN"/>
        </w:rPr>
      </w:pPr>
    </w:p>
    <w:p>
      <w:pPr>
        <w:rPr>
          <w:rFonts w:hint="default" w:asciiTheme="minorEastAsia" w:hAnsiTheme="minorEastAsia" w:eastAsiaTheme="minorEastAsia"/>
          <w:sz w:val="20"/>
          <w:szCs w:val="20"/>
          <w:lang w:val="en-US" w:eastAsia="zh-CN"/>
        </w:rPr>
      </w:pPr>
    </w:p>
    <w:p>
      <w:pPr>
        <w:pStyle w:val="6"/>
        <w:rPr>
          <w:rFonts w:hint="default" w:asciiTheme="minorEastAsia" w:hAnsiTheme="minorEastAsia" w:eastAsiaTheme="minorEastAsia"/>
          <w:sz w:val="20"/>
          <w:szCs w:val="20"/>
          <w:lang w:val="en-US" w:eastAsia="zh-CN"/>
        </w:rPr>
      </w:pPr>
    </w:p>
    <w:p>
      <w:pPr>
        <w:pStyle w:val="2"/>
        <w:rPr>
          <w:rFonts w:hint="default" w:asciiTheme="minorEastAsia" w:hAnsiTheme="minorEastAsia" w:eastAsiaTheme="minorEastAsia"/>
          <w:sz w:val="20"/>
          <w:szCs w:val="20"/>
          <w:lang w:val="en-US" w:eastAsia="zh-CN"/>
        </w:rPr>
      </w:pPr>
    </w:p>
    <w:p>
      <w:pPr>
        <w:rPr>
          <w:rFonts w:hint="default" w:asciiTheme="minorEastAsia" w:hAnsiTheme="minorEastAsia" w:eastAsiaTheme="minorEastAsia"/>
          <w:sz w:val="20"/>
          <w:szCs w:val="20"/>
          <w:lang w:val="en-US" w:eastAsia="zh-CN"/>
        </w:rPr>
      </w:pPr>
    </w:p>
    <w:p>
      <w:pPr>
        <w:pStyle w:val="6"/>
        <w:rPr>
          <w:rFonts w:hint="default" w:asciiTheme="minorEastAsia" w:hAnsiTheme="minorEastAsia" w:eastAsiaTheme="minorEastAsia"/>
          <w:sz w:val="20"/>
          <w:szCs w:val="20"/>
          <w:lang w:val="en-US" w:eastAsia="zh-CN"/>
        </w:rPr>
      </w:pPr>
    </w:p>
    <w:p>
      <w:pPr>
        <w:pStyle w:val="2"/>
        <w:rPr>
          <w:rFonts w:hint="default" w:asciiTheme="minorEastAsia" w:hAnsiTheme="minorEastAsia" w:eastAsiaTheme="minorEastAsia"/>
          <w:sz w:val="20"/>
          <w:szCs w:val="20"/>
          <w:lang w:val="en-US" w:eastAsia="zh-CN"/>
        </w:rPr>
      </w:pPr>
    </w:p>
    <w:p>
      <w:pPr>
        <w:rPr>
          <w:rFonts w:hint="default" w:asciiTheme="minorEastAsia" w:hAnsiTheme="minorEastAsia" w:eastAsiaTheme="minorEastAsia"/>
          <w:sz w:val="20"/>
          <w:szCs w:val="20"/>
          <w:lang w:val="en-US" w:eastAsia="zh-CN"/>
        </w:rPr>
      </w:pPr>
    </w:p>
    <w:p>
      <w:pPr>
        <w:pStyle w:val="6"/>
        <w:rPr>
          <w:rFonts w:hint="default" w:asciiTheme="minorEastAsia" w:hAnsiTheme="minorEastAsia" w:eastAsiaTheme="minorEastAsia"/>
          <w:sz w:val="20"/>
          <w:szCs w:val="20"/>
          <w:lang w:val="en-US" w:eastAsia="zh-CN"/>
        </w:rPr>
      </w:pPr>
    </w:p>
    <w:p>
      <w:pPr>
        <w:pStyle w:val="2"/>
        <w:rPr>
          <w:rFonts w:hint="default" w:asciiTheme="minorEastAsia" w:hAnsiTheme="minorEastAsia" w:eastAsiaTheme="minorEastAsia"/>
          <w:sz w:val="20"/>
          <w:szCs w:val="20"/>
          <w:lang w:val="en-US" w:eastAsia="zh-CN"/>
        </w:rPr>
      </w:pPr>
    </w:p>
    <w:p>
      <w:pPr>
        <w:rPr>
          <w:rFonts w:hint="default" w:asciiTheme="minorEastAsia" w:hAnsiTheme="minorEastAsia" w:eastAsiaTheme="minorEastAsia"/>
          <w:sz w:val="20"/>
          <w:szCs w:val="20"/>
          <w:lang w:val="en-US" w:eastAsia="zh-CN"/>
        </w:rPr>
      </w:pPr>
    </w:p>
    <w:p>
      <w:pPr>
        <w:pStyle w:val="6"/>
        <w:rPr>
          <w:rFonts w:hint="default" w:asciiTheme="minorEastAsia" w:hAnsiTheme="minorEastAsia" w:eastAsiaTheme="minorEastAsia"/>
          <w:sz w:val="20"/>
          <w:szCs w:val="20"/>
          <w:lang w:val="en-US" w:eastAsia="zh-CN"/>
        </w:rPr>
      </w:pPr>
    </w:p>
    <w:p>
      <w:pPr>
        <w:pStyle w:val="2"/>
        <w:rPr>
          <w:rFonts w:hint="default" w:asciiTheme="minorEastAsia" w:hAnsiTheme="minorEastAsia" w:eastAsiaTheme="minorEastAsia"/>
          <w:sz w:val="20"/>
          <w:szCs w:val="20"/>
          <w:lang w:val="en-US" w:eastAsia="zh-CN"/>
        </w:rPr>
      </w:pPr>
    </w:p>
    <w:p>
      <w:pPr>
        <w:rPr>
          <w:rFonts w:hint="default" w:asciiTheme="minorEastAsia" w:hAnsiTheme="minorEastAsia" w:eastAsiaTheme="minorEastAsia"/>
          <w:sz w:val="20"/>
          <w:szCs w:val="20"/>
          <w:lang w:val="en-US" w:eastAsia="zh-CN"/>
        </w:rPr>
      </w:pPr>
    </w:p>
    <w:p>
      <w:pPr>
        <w:pStyle w:val="6"/>
        <w:rPr>
          <w:rFonts w:hint="default" w:asciiTheme="minorEastAsia" w:hAnsiTheme="minorEastAsia" w:eastAsiaTheme="minorEastAsia"/>
          <w:sz w:val="20"/>
          <w:szCs w:val="20"/>
          <w:lang w:val="en-US" w:eastAsia="zh-CN"/>
        </w:rPr>
      </w:pPr>
    </w:p>
    <w:p>
      <w:pPr>
        <w:pStyle w:val="2"/>
        <w:rPr>
          <w:rFonts w:hint="default" w:asciiTheme="minorEastAsia" w:hAnsiTheme="minorEastAsia" w:eastAsiaTheme="minorEastAsia"/>
          <w:sz w:val="20"/>
          <w:szCs w:val="20"/>
          <w:lang w:val="en-US" w:eastAsia="zh-CN"/>
        </w:rPr>
      </w:pPr>
    </w:p>
    <w:p>
      <w:pPr>
        <w:rPr>
          <w:rFonts w:hint="default" w:asciiTheme="minorEastAsia" w:hAnsiTheme="minorEastAsia" w:eastAsiaTheme="minorEastAsia"/>
          <w:sz w:val="20"/>
          <w:szCs w:val="20"/>
          <w:lang w:val="en-US" w:eastAsia="zh-CN"/>
        </w:rPr>
      </w:pPr>
    </w:p>
    <w:p>
      <w:pPr>
        <w:pStyle w:val="6"/>
        <w:rPr>
          <w:rFonts w:hint="default" w:asciiTheme="minorEastAsia" w:hAnsiTheme="minorEastAsia" w:eastAsiaTheme="minorEastAsia"/>
          <w:sz w:val="20"/>
          <w:szCs w:val="20"/>
          <w:lang w:val="en-US" w:eastAsia="zh-CN"/>
        </w:rPr>
      </w:pPr>
    </w:p>
    <w:p>
      <w:pPr>
        <w:pStyle w:val="2"/>
        <w:rPr>
          <w:rFonts w:hint="default" w:asciiTheme="minorEastAsia" w:hAnsiTheme="minorEastAsia" w:eastAsiaTheme="minorEastAsia"/>
          <w:sz w:val="20"/>
          <w:szCs w:val="20"/>
          <w:lang w:val="en-US" w:eastAsia="zh-CN"/>
        </w:rPr>
      </w:pPr>
    </w:p>
    <w:p>
      <w:pPr>
        <w:rPr>
          <w:rFonts w:hint="default" w:asciiTheme="minorEastAsia" w:hAnsiTheme="minorEastAsia" w:eastAsiaTheme="minorEastAsia"/>
          <w:sz w:val="20"/>
          <w:szCs w:val="20"/>
          <w:lang w:val="en-US" w:eastAsia="zh-CN"/>
        </w:rPr>
      </w:pPr>
    </w:p>
    <w:p>
      <w:pPr>
        <w:pStyle w:val="6"/>
        <w:rPr>
          <w:rFonts w:hint="default" w:asciiTheme="minorEastAsia" w:hAnsiTheme="minorEastAsia" w:eastAsiaTheme="minorEastAsia"/>
          <w:sz w:val="20"/>
          <w:szCs w:val="20"/>
          <w:lang w:val="en-US" w:eastAsia="zh-CN"/>
        </w:rPr>
      </w:pPr>
    </w:p>
    <w:p>
      <w:pPr>
        <w:pStyle w:val="2"/>
        <w:rPr>
          <w:rFonts w:hint="default" w:asciiTheme="minorEastAsia" w:hAnsiTheme="minorEastAsia" w:eastAsiaTheme="minorEastAsia"/>
          <w:sz w:val="20"/>
          <w:szCs w:val="20"/>
          <w:lang w:val="en-US" w:eastAsia="zh-CN"/>
        </w:rPr>
      </w:pPr>
    </w:p>
    <w:p>
      <w:pPr>
        <w:rPr>
          <w:rFonts w:hint="default" w:asciiTheme="minorEastAsia" w:hAnsiTheme="minorEastAsia" w:eastAsiaTheme="minorEastAsia"/>
          <w:sz w:val="20"/>
          <w:szCs w:val="20"/>
          <w:lang w:val="en-US" w:eastAsia="zh-CN"/>
        </w:rPr>
      </w:pPr>
    </w:p>
    <w:p>
      <w:pPr>
        <w:pStyle w:val="6"/>
        <w:rPr>
          <w:rFonts w:hint="default" w:asciiTheme="minorEastAsia" w:hAnsiTheme="minorEastAsia" w:eastAsiaTheme="minorEastAsia"/>
          <w:sz w:val="20"/>
          <w:szCs w:val="20"/>
          <w:lang w:val="en-US" w:eastAsia="zh-CN"/>
        </w:rPr>
      </w:pPr>
    </w:p>
    <w:p>
      <w:pPr>
        <w:pStyle w:val="2"/>
        <w:rPr>
          <w:rFonts w:hint="default" w:asciiTheme="minorEastAsia" w:hAnsiTheme="minorEastAsia" w:eastAsiaTheme="minorEastAsia"/>
          <w:sz w:val="20"/>
          <w:szCs w:val="20"/>
          <w:lang w:val="en-US" w:eastAsia="zh-CN"/>
        </w:rPr>
      </w:pPr>
    </w:p>
    <w:p>
      <w:pPr>
        <w:rPr>
          <w:rFonts w:hint="default" w:asciiTheme="minorEastAsia" w:hAnsiTheme="minorEastAsia" w:eastAsiaTheme="minorEastAsia"/>
          <w:sz w:val="20"/>
          <w:szCs w:val="20"/>
          <w:lang w:val="en-US" w:eastAsia="zh-CN"/>
        </w:rPr>
      </w:pPr>
    </w:p>
    <w:p>
      <w:pPr>
        <w:pStyle w:val="6"/>
        <w:rPr>
          <w:rFonts w:hint="default" w:asciiTheme="minorEastAsia" w:hAnsiTheme="minorEastAsia" w:eastAsiaTheme="minorEastAsia"/>
          <w:sz w:val="20"/>
          <w:szCs w:val="20"/>
          <w:lang w:val="en-US" w:eastAsia="zh-CN"/>
        </w:rPr>
      </w:pPr>
    </w:p>
    <w:p>
      <w:pPr>
        <w:pStyle w:val="2"/>
        <w:rPr>
          <w:rFonts w:hint="default" w:asciiTheme="minorEastAsia" w:hAnsiTheme="minorEastAsia" w:eastAsiaTheme="minorEastAsia"/>
          <w:sz w:val="20"/>
          <w:szCs w:val="20"/>
          <w:lang w:val="en-US" w:eastAsia="zh-CN"/>
        </w:rPr>
      </w:pPr>
    </w:p>
    <w:p>
      <w:pPr>
        <w:jc w:val="center"/>
        <w:rPr>
          <w:rFonts w:hint="eastAsia"/>
          <w:sz w:val="36"/>
          <w:szCs w:val="36"/>
          <w:lang w:val="en-US" w:eastAsia="zh-CN"/>
        </w:rPr>
      </w:pPr>
    </w:p>
    <w:p>
      <w:pPr>
        <w:jc w:val="center"/>
        <w:rPr>
          <w:rFonts w:hint="default"/>
          <w:sz w:val="28"/>
          <w:szCs w:val="28"/>
          <w:lang w:val="en-US"/>
        </w:rPr>
      </w:pPr>
      <w:r>
        <w:rPr>
          <w:rFonts w:hint="eastAsia"/>
          <w:sz w:val="36"/>
          <w:szCs w:val="36"/>
          <w:lang w:val="en-US" w:eastAsia="zh-CN"/>
        </w:rPr>
        <w:t>第五章 毕业生自主创业情况</w:t>
      </w:r>
    </w:p>
    <w:p>
      <w:pPr>
        <w:ind w:firstLine="560" w:firstLineChars="200"/>
        <w:rPr>
          <w:rFonts w:hint="default"/>
          <w:lang w:val="en-US" w:eastAsia="zh-CN"/>
        </w:rPr>
      </w:pPr>
      <w:r>
        <w:rPr>
          <w:rFonts w:hint="eastAsia"/>
          <w:sz w:val="28"/>
          <w:szCs w:val="28"/>
          <w:lang w:val="en-US" w:eastAsia="zh-CN"/>
        </w:rPr>
        <w:t>2023届毕业生自主创业68人，自主创业率为1.69%</w:t>
      </w:r>
    </w:p>
    <w:p>
      <w:pPr>
        <w:numPr>
          <w:ilvl w:val="0"/>
          <w:numId w:val="0"/>
        </w:numPr>
        <w:ind w:leftChars="0"/>
        <w:jc w:val="left"/>
        <w:rPr>
          <w:rFonts w:hint="default"/>
          <w:sz w:val="28"/>
          <w:szCs w:val="28"/>
          <w:highlight w:val="none"/>
          <w:lang w:val="en-US" w:eastAsia="zh-CN"/>
        </w:rPr>
      </w:pPr>
      <w:r>
        <w:rPr>
          <w:rFonts w:hint="eastAsia"/>
          <w:sz w:val="28"/>
          <w:szCs w:val="28"/>
          <w:highlight w:val="none"/>
          <w:lang w:val="en-US" w:eastAsia="zh-CN"/>
        </w:rPr>
        <w:t>一、自主创业情况</w:t>
      </w:r>
    </w:p>
    <w:p>
      <w:pPr>
        <w:ind w:firstLine="560" w:firstLineChars="200"/>
        <w:jc w:val="left"/>
        <w:rPr>
          <w:rFonts w:hint="eastAsia"/>
          <w:sz w:val="28"/>
          <w:szCs w:val="28"/>
          <w:highlight w:val="none"/>
          <w:lang w:val="en-US" w:eastAsia="zh-CN"/>
        </w:rPr>
      </w:pPr>
      <w:r>
        <w:rPr>
          <w:rFonts w:hint="eastAsia"/>
          <w:sz w:val="28"/>
          <w:szCs w:val="28"/>
          <w:highlight w:val="none"/>
          <w:lang w:val="en-US" w:eastAsia="zh-CN"/>
        </w:rPr>
        <w:t>2023届毕业生共有68人选择自主创业，自主创业率为1.69%。创业人数最多的为建筑工程学院（21人，2.92%），其次是汽车与智能制造学院（10人，2.81%），艺术创意学院（15人，2.10%）。毕业生创业人数最多的专业是建筑工程技术（20人，4.03%），其次是电子商务（15人，3.46%），计算机应用技术（9人，1.89%）。</w:t>
      </w:r>
    </w:p>
    <w:p>
      <w:pPr>
        <w:ind w:firstLine="400" w:firstLineChars="200"/>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表</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5</w:t>
      </w:r>
      <w:r>
        <w:rPr>
          <w:rFonts w:asciiTheme="minorEastAsia" w:hAnsiTheme="minorEastAsia" w:eastAsiaTheme="minorEastAsia"/>
          <w:sz w:val="20"/>
          <w:szCs w:val="20"/>
          <w:lang w:val="ru-RU"/>
        </w:rPr>
        <w:t>-</w:t>
      </w:r>
      <w:r>
        <w:rPr>
          <w:rFonts w:hint="eastAsia" w:asciiTheme="minorEastAsia" w:hAnsiTheme="minorEastAsia" w:eastAsiaTheme="minorEastAsia"/>
          <w:sz w:val="20"/>
          <w:szCs w:val="20"/>
          <w:lang w:val="en-US" w:eastAsia="zh-CN"/>
        </w:rPr>
        <w:t>1  2023届毕业生分专业自主创业情况</w:t>
      </w:r>
    </w:p>
    <w:p>
      <w:pPr>
        <w:jc w:val="right"/>
        <w:rPr>
          <w:rFonts w:hint="eastAsia" w:asciiTheme="minorEastAsia" w:hAnsiTheme="minorEastAsia" w:eastAsiaTheme="minorEastAsia"/>
          <w:sz w:val="20"/>
          <w:szCs w:val="20"/>
          <w:lang w:val="ru-RU"/>
        </w:rPr>
      </w:pPr>
      <w:r>
        <w:rPr>
          <w:rFonts w:hint="eastAsia" w:asciiTheme="minorEastAsia" w:hAnsiTheme="minorEastAsia" w:eastAsiaTheme="minorEastAsia"/>
          <w:sz w:val="20"/>
          <w:szCs w:val="20"/>
          <w:lang w:val="ru-RU"/>
        </w:rPr>
        <w:t>单位：人数（人）、比例（%）</w:t>
      </w:r>
    </w:p>
    <w:tbl>
      <w:tblPr>
        <w:tblStyle w:val="19"/>
        <w:tblW w:w="8513" w:type="dxa"/>
        <w:tblInd w:w="3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autofit"/>
        <w:tblCellMar>
          <w:top w:w="0" w:type="dxa"/>
          <w:left w:w="108" w:type="dxa"/>
          <w:bottom w:w="0" w:type="dxa"/>
          <w:right w:w="108" w:type="dxa"/>
        </w:tblCellMar>
      </w:tblPr>
      <w:tblGrid>
        <w:gridCol w:w="2338"/>
        <w:gridCol w:w="2662"/>
        <w:gridCol w:w="1238"/>
        <w:gridCol w:w="1212"/>
        <w:gridCol w:w="1063"/>
      </w:tblGrid>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38" w:type="dxa"/>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single" w:sz="24" w:space="0"/>
              <w:insideV w:val="single" w:sz="8" w:space="0"/>
            </w:tcBorders>
            <w:shd w:val="clear" w:color="auto" w:fill="4BACC6" w:themeFill="accent5"/>
            <w:vAlign w:val="top"/>
          </w:tcPr>
          <w:p>
            <w:pPr>
              <w:jc w:val="center"/>
              <w:rPr>
                <w:rFonts w:hint="eastAsia" w:asciiTheme="minorEastAsia" w:hAnsiTheme="minorEastAsia" w:eastAsiaTheme="minorEastAsia"/>
                <w:b/>
                <w:bCs/>
                <w:i w:val="0"/>
                <w:iCs w:val="0"/>
                <w:color w:val="FFFFFF" w:themeColor="background1"/>
                <w:sz w:val="20"/>
                <w:szCs w:val="20"/>
                <w:lang w:val="ru-RU" w:eastAsia="zh-CN"/>
                <w14:textFill>
                  <w14:solidFill>
                    <w14:schemeClr w14:val="bg1"/>
                  </w14:solidFill>
                </w14:textFill>
              </w:rPr>
            </w:pPr>
            <w:r>
              <w:rPr>
                <w:rFonts w:hint="eastAsia" w:asciiTheme="minorEastAsia" w:hAnsiTheme="minorEastAsia" w:eastAsiaTheme="minorEastAsia"/>
                <w:b/>
                <w:bCs/>
                <w:i w:val="0"/>
                <w:iCs w:val="0"/>
                <w:color w:val="FFFFFF" w:themeColor="background1"/>
                <w:sz w:val="20"/>
                <w:szCs w:val="20"/>
                <w:lang w:val="en-US" w:eastAsia="zh-CN"/>
                <w14:textFill>
                  <w14:solidFill>
                    <w14:schemeClr w14:val="bg1"/>
                  </w14:solidFill>
                </w14:textFill>
              </w:rPr>
              <w:t>二级学院</w:t>
            </w:r>
          </w:p>
        </w:tc>
        <w:tc>
          <w:tcPr>
            <w:tcW w:w="2662" w:type="dxa"/>
            <w:tcBorders>
              <w:top w:val="single" w:color="FFFFFF" w:themeColor="background1" w:sz="8" w:space="0"/>
              <w:bottom w:val="single" w:color="FFFFFF" w:themeColor="background1" w:sz="24" w:space="0"/>
              <w:right w:val="single" w:color="FFFFFF" w:themeColor="background1" w:sz="8" w:space="0"/>
              <w:insideH w:val="single" w:sz="24" w:space="0"/>
              <w:insideV w:val="single" w:sz="8" w:space="0"/>
            </w:tcBorders>
            <w:shd w:val="clear" w:color="auto" w:fill="4BACC6" w:themeFill="accent5"/>
            <w:vAlign w:val="top"/>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t>专业</w:t>
            </w:r>
          </w:p>
        </w:tc>
        <w:tc>
          <w:tcPr>
            <w:tcW w:w="1238" w:type="dxa"/>
            <w:tcBorders>
              <w:top w:val="single" w:color="FFFFFF" w:themeColor="background1" w:sz="8" w:space="0"/>
              <w:bottom w:val="single" w:color="FFFFFF" w:themeColor="background1" w:sz="24" w:space="0"/>
              <w:right w:val="single" w:color="FFFFFF" w:themeColor="background1" w:sz="8" w:space="0"/>
              <w:insideH w:val="single" w:sz="24" w:space="0"/>
              <w:insideV w:val="single" w:sz="8" w:space="0"/>
            </w:tcBorders>
            <w:shd w:val="clear" w:color="auto" w:fill="4BACC6" w:themeFill="accent5"/>
            <w:vAlign w:val="top"/>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r>
              <w:rPr>
                <w:rFonts w:hint="eastAsia" w:asciiTheme="minorEastAsia" w:hAnsiTheme="minorEastAsia" w:eastAsiaTheme="minorEastAsia"/>
                <w:b/>
                <w:bCs/>
                <w:i w:val="0"/>
                <w:iCs w:val="0"/>
                <w:color w:val="FFFFFF" w:themeColor="background1"/>
                <w:sz w:val="20"/>
                <w:szCs w:val="20"/>
                <w:lang w:val="en-US" w:eastAsia="zh-CN"/>
                <w14:textFill>
                  <w14:solidFill>
                    <w14:schemeClr w14:val="bg1"/>
                  </w14:solidFill>
                </w14:textFill>
              </w:rPr>
              <w:t>毕业生人数</w:t>
            </w:r>
          </w:p>
        </w:tc>
        <w:tc>
          <w:tcPr>
            <w:tcW w:w="1212" w:type="dxa"/>
            <w:tcBorders>
              <w:top w:val="single" w:color="FFFFFF" w:themeColor="background1" w:sz="8" w:space="0"/>
              <w:bottom w:val="single" w:color="FFFFFF" w:themeColor="background1" w:sz="24" w:space="0"/>
              <w:right w:val="single" w:color="FFFFFF" w:themeColor="background1" w:sz="8" w:space="0"/>
              <w:insideH w:val="single" w:sz="24" w:space="0"/>
              <w:insideV w:val="single" w:sz="8" w:space="0"/>
            </w:tcBorders>
            <w:shd w:val="clear" w:color="auto" w:fill="4BACC6" w:themeFill="accent5"/>
            <w:vAlign w:val="top"/>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r>
              <w:rPr>
                <w:rFonts w:hint="eastAsia" w:asciiTheme="minorEastAsia" w:hAnsiTheme="minorEastAsia" w:eastAsiaTheme="minorEastAsia"/>
                <w:b/>
                <w:bCs/>
                <w:i w:val="0"/>
                <w:iCs w:val="0"/>
                <w:color w:val="FFFFFF" w:themeColor="background1"/>
                <w:sz w:val="20"/>
                <w:szCs w:val="20"/>
                <w:lang w:val="en-US" w:eastAsia="zh-CN"/>
                <w14:textFill>
                  <w14:solidFill>
                    <w14:schemeClr w14:val="bg1"/>
                  </w14:solidFill>
                </w14:textFill>
              </w:rPr>
              <w:t>创业人数</w:t>
            </w:r>
          </w:p>
        </w:tc>
        <w:tc>
          <w:tcPr>
            <w:tcW w:w="1063" w:type="dxa"/>
            <w:tcBorders>
              <w:top w:val="single" w:color="FFFFFF" w:themeColor="background1" w:sz="8" w:space="0"/>
              <w:bottom w:val="single" w:color="FFFFFF" w:themeColor="background1" w:sz="24" w:space="0"/>
              <w:right w:val="single" w:color="FFFFFF" w:themeColor="background1" w:sz="8" w:space="0"/>
              <w:insideH w:val="single" w:sz="24" w:space="0"/>
              <w:insideV w:val="single" w:sz="8" w:space="0"/>
            </w:tcBorders>
            <w:shd w:val="clear" w:color="auto" w:fill="4BACC6" w:themeFill="accent5"/>
            <w:vAlign w:val="top"/>
          </w:tcPr>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r>
              <w:rPr>
                <w:rFonts w:hint="eastAsia" w:asciiTheme="minorEastAsia" w:hAnsiTheme="minorEastAsia" w:eastAsiaTheme="minorEastAsia"/>
                <w:b/>
                <w:bCs/>
                <w:i w:val="0"/>
                <w:iCs w:val="0"/>
                <w:color w:val="FFFFFF" w:themeColor="background1"/>
                <w:sz w:val="20"/>
                <w:szCs w:val="20"/>
                <w:lang w:val="en-US" w:eastAsia="zh-CN"/>
                <w14:textFill>
                  <w14:solidFill>
                    <w14:schemeClr w14:val="bg1"/>
                  </w14:solidFill>
                </w14:textFill>
              </w:rPr>
              <w:t>创业率</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38" w:type="dxa"/>
            <w:vMerge w:val="restart"/>
            <w:tcBorders>
              <w:left w:val="single" w:color="FFFFFF" w:themeColor="background1" w:sz="8" w:space="0"/>
              <w:right w:val="single" w:color="FFFFFF" w:themeColor="background1" w:sz="24" w:space="0"/>
              <w:insideH w:val="nil"/>
              <w:insideV w:val="single" w:sz="24" w:space="0"/>
            </w:tcBorders>
            <w:shd w:val="clear" w:color="auto" w:fill="4BACC6" w:themeFill="accent5"/>
            <w:vAlign w:val="center"/>
          </w:tcPr>
          <w:p>
            <w:pPr>
              <w:jc w:val="center"/>
              <w:rPr>
                <w:rFonts w:hint="eastAsia" w:cs="Times New Roman" w:asciiTheme="minorEastAsia" w:hAnsiTheme="minorEastAsia" w:eastAsiaTheme="minorEastAsia"/>
                <w:b/>
                <w:bCs/>
                <w:i w:val="0"/>
                <w:iCs w:val="0"/>
                <w:color w:val="FFFFFF" w:themeColor="background1"/>
                <w:kern w:val="2"/>
                <w:sz w:val="20"/>
                <w:szCs w:val="20"/>
                <w:lang w:val="ru-RU" w:eastAsia="zh-CN" w:bidi="ar-SA"/>
                <w14:textFill>
                  <w14:solidFill>
                    <w14:schemeClr w14:val="bg1"/>
                  </w14:solidFill>
                </w14:textFill>
              </w:rPr>
            </w:pPr>
            <w: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t>财会工商</w:t>
            </w:r>
            <w:r>
              <w:rPr>
                <w:rFonts w:hint="eastAsia" w:asciiTheme="minorEastAsia" w:hAnsiTheme="minorEastAsia" w:eastAsiaTheme="minorEastAsia"/>
                <w:b/>
                <w:bCs/>
                <w:i w:val="0"/>
                <w:iCs w:val="0"/>
                <w:color w:val="FFFFFF" w:themeColor="background1"/>
                <w:sz w:val="20"/>
                <w:szCs w:val="20"/>
                <w:lang w:val="en-US" w:eastAsia="zh-CN"/>
                <w14:textFill>
                  <w14:solidFill>
                    <w14:schemeClr w14:val="bg1"/>
                  </w14:solidFill>
                </w14:textFill>
              </w:rPr>
              <w:t>学院</w:t>
            </w:r>
          </w:p>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62" w:type="dxa"/>
            <w:shd w:val="clear" w:color="auto" w:fill="D2EAF0" w:themeFill="accent5" w:themeFillTint="3F"/>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ru-RU" w:eastAsia="zh-CN"/>
              </w:rPr>
              <w:t>会计</w:t>
            </w:r>
          </w:p>
        </w:tc>
        <w:tc>
          <w:tcPr>
            <w:tcW w:w="1238" w:type="dxa"/>
            <w:shd w:val="clear" w:color="auto" w:fill="D2EAF0" w:themeFill="accent5" w:themeFillTint="3F"/>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403</w:t>
            </w:r>
          </w:p>
        </w:tc>
        <w:tc>
          <w:tcPr>
            <w:tcW w:w="1212" w:type="dxa"/>
            <w:shd w:val="clear" w:color="auto" w:fill="D2EAF0" w:themeFill="accent5" w:themeFillTint="3F"/>
            <w:vAlign w:val="center"/>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1</w:t>
            </w:r>
          </w:p>
        </w:tc>
        <w:tc>
          <w:tcPr>
            <w:tcW w:w="1063" w:type="dxa"/>
            <w:shd w:val="clear" w:color="auto" w:fill="D2EAF0" w:themeFill="accent5" w:themeFillTint="3F"/>
            <w:vAlign w:val="center"/>
          </w:tcPr>
          <w:p>
            <w:pPr>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0.25</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38"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center"/>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62" w:type="dxa"/>
            <w:shd w:val="clear" w:color="auto" w:fill="92CDDC" w:themeFill="accent5" w:themeFillTint="99"/>
            <w:vAlign w:val="top"/>
          </w:tcPr>
          <w:p>
            <w:pPr>
              <w:jc w:val="center"/>
              <w:rPr>
                <w:rFonts w:hint="eastAsia" w:cs="Times New Roman" w:asciiTheme="minorEastAsia" w:hAnsiTheme="minorEastAsia" w:eastAsiaTheme="minorEastAsia"/>
                <w:kern w:val="2"/>
                <w:sz w:val="20"/>
                <w:szCs w:val="20"/>
                <w:lang w:val="ru-RU" w:eastAsia="zh-CN" w:bidi="ar-SA"/>
              </w:rPr>
            </w:pPr>
            <w:r>
              <w:rPr>
                <w:rFonts w:hint="eastAsia" w:asciiTheme="minorEastAsia" w:hAnsiTheme="minorEastAsia" w:eastAsiaTheme="minorEastAsia"/>
                <w:sz w:val="20"/>
                <w:szCs w:val="20"/>
                <w:lang w:val="ru-RU" w:eastAsia="zh-CN"/>
              </w:rPr>
              <w:t>文秘</w:t>
            </w:r>
          </w:p>
        </w:tc>
        <w:tc>
          <w:tcPr>
            <w:tcW w:w="1238" w:type="dxa"/>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166</w:t>
            </w:r>
          </w:p>
        </w:tc>
        <w:tc>
          <w:tcPr>
            <w:tcW w:w="1212" w:type="dxa"/>
            <w:shd w:val="clear" w:color="auto" w:fill="92CDDC" w:themeFill="accent5" w:themeFillTint="99"/>
            <w:vAlign w:val="center"/>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0</w:t>
            </w:r>
          </w:p>
        </w:tc>
        <w:tc>
          <w:tcPr>
            <w:tcW w:w="1063" w:type="dxa"/>
            <w:shd w:val="clear" w:color="auto" w:fill="92CDDC" w:themeFill="accent5" w:themeFillTint="99"/>
            <w:vAlign w:val="center"/>
          </w:tcPr>
          <w:p>
            <w:pPr>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0.00</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38"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top"/>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6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ru-RU" w:eastAsia="zh-CN"/>
              </w:rPr>
              <w:t>旅游管理</w:t>
            </w:r>
          </w:p>
        </w:tc>
        <w:tc>
          <w:tcPr>
            <w:tcW w:w="1238"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118</w:t>
            </w:r>
          </w:p>
        </w:tc>
        <w:tc>
          <w:tcPr>
            <w:tcW w:w="121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center"/>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2</w:t>
            </w:r>
          </w:p>
        </w:tc>
        <w:tc>
          <w:tcPr>
            <w:tcW w:w="1063"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center"/>
          </w:tcPr>
          <w:p>
            <w:pPr>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1.69</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38"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top"/>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62" w:type="dxa"/>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ru-RU" w:eastAsia="zh-CN"/>
              </w:rPr>
              <w:t>金融管理</w:t>
            </w:r>
          </w:p>
        </w:tc>
        <w:tc>
          <w:tcPr>
            <w:tcW w:w="1238" w:type="dxa"/>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58</w:t>
            </w:r>
          </w:p>
        </w:tc>
        <w:tc>
          <w:tcPr>
            <w:tcW w:w="1212" w:type="dxa"/>
            <w:shd w:val="clear" w:color="auto" w:fill="92CDDC" w:themeFill="accent5" w:themeFillTint="99"/>
            <w:vAlign w:val="center"/>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0</w:t>
            </w:r>
          </w:p>
        </w:tc>
        <w:tc>
          <w:tcPr>
            <w:tcW w:w="1063" w:type="dxa"/>
            <w:shd w:val="clear" w:color="auto" w:fill="92CDDC" w:themeFill="accent5" w:themeFillTint="99"/>
            <w:vAlign w:val="center"/>
          </w:tcPr>
          <w:p>
            <w:pPr>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0.00</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38" w:type="dxa"/>
            <w:vMerge w:val="continue"/>
            <w:tcBorders>
              <w:left w:val="single" w:color="FFFFFF" w:themeColor="background1" w:sz="8" w:space="0"/>
              <w:bottom w:val="nil"/>
              <w:right w:val="single" w:color="FFFFFF" w:themeColor="background1" w:sz="24" w:space="0"/>
              <w:insideH w:val="nil"/>
              <w:insideV w:val="single" w:sz="24" w:space="0"/>
            </w:tcBorders>
            <w:shd w:val="clear" w:color="auto" w:fill="4BACC6" w:themeFill="accent5"/>
            <w:vAlign w:val="top"/>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62" w:type="dxa"/>
            <w:shd w:val="clear" w:color="auto" w:fill="D2EAF0" w:themeFill="accent5" w:themeFillTint="3F"/>
            <w:vAlign w:val="top"/>
          </w:tcPr>
          <w:p>
            <w:pPr>
              <w:jc w:val="right"/>
              <w:rPr>
                <w:rFonts w:hint="default" w:cs="Times New Roman" w:asciiTheme="minorEastAsia" w:hAnsiTheme="minorEastAsia" w:eastAsiaTheme="minorEastAsia"/>
                <w:b/>
                <w:bCs/>
                <w:color w:val="1F497D" w:themeColor="text2"/>
                <w:kern w:val="2"/>
                <w:sz w:val="20"/>
                <w:szCs w:val="20"/>
                <w:highlight w:val="none"/>
                <w:lang w:val="en-US" w:eastAsia="zh-CN" w:bidi="ar-SA"/>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财会工商学院 汇总</w:t>
            </w:r>
          </w:p>
        </w:tc>
        <w:tc>
          <w:tcPr>
            <w:tcW w:w="1238" w:type="dxa"/>
            <w:shd w:val="clear" w:color="auto" w:fill="D2EAF0" w:themeFill="accent5" w:themeFillTint="3F"/>
            <w:vAlign w:val="top"/>
          </w:tcPr>
          <w:p>
            <w:pPr>
              <w:jc w:val="right"/>
              <w:rPr>
                <w:rFonts w:hint="default" w:cs="Times New Roman" w:asciiTheme="minorEastAsia" w:hAnsiTheme="minorEastAsia" w:eastAsiaTheme="minorEastAsia"/>
                <w:b/>
                <w:bCs/>
                <w:color w:val="1F497D" w:themeColor="text2"/>
                <w:kern w:val="2"/>
                <w:sz w:val="20"/>
                <w:szCs w:val="20"/>
                <w:highlight w:val="none"/>
                <w:lang w:val="en-US" w:eastAsia="zh-CN" w:bidi="ar-SA"/>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745</w:t>
            </w:r>
          </w:p>
        </w:tc>
        <w:tc>
          <w:tcPr>
            <w:tcW w:w="1212" w:type="dxa"/>
            <w:shd w:val="clear" w:color="auto" w:fill="D2EAF0" w:themeFill="accent5" w:themeFillTint="3F"/>
            <w:vAlign w:val="center"/>
          </w:tcPr>
          <w:p>
            <w:pPr>
              <w:jc w:val="right"/>
              <w:rPr>
                <w:rFonts w:hint="default" w:cs="Times New Roman" w:asciiTheme="minorEastAsia" w:hAnsiTheme="minorEastAsia" w:eastAsiaTheme="minorEastAsia"/>
                <w:kern w:val="2"/>
                <w:sz w:val="20"/>
                <w:szCs w:val="20"/>
                <w:highlight w:val="none"/>
                <w:lang w:val="en-US" w:eastAsia="zh-CN" w:bidi="ar-SA"/>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3</w:t>
            </w:r>
          </w:p>
        </w:tc>
        <w:tc>
          <w:tcPr>
            <w:tcW w:w="1063" w:type="dxa"/>
            <w:shd w:val="clear" w:color="auto" w:fill="D2EAF0" w:themeFill="accent5" w:themeFillTint="3F"/>
            <w:vAlign w:val="center"/>
          </w:tcPr>
          <w:p>
            <w:pPr>
              <w:jc w:val="right"/>
              <w:rPr>
                <w:rFonts w:hint="eastAsia" w:asciiTheme="minorEastAsia" w:hAnsiTheme="minorEastAsia" w:eastAsiaTheme="minorEastAsia"/>
                <w:b/>
                <w:bCs/>
                <w:color w:val="1F497D" w:themeColor="text2"/>
                <w:sz w:val="20"/>
                <w:szCs w:val="20"/>
                <w:highlight w:val="none"/>
                <w:lang w:val="en-US" w:eastAsia="zh-CN"/>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0.40</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38" w:type="dxa"/>
            <w:vMerge w:val="restart"/>
            <w:tcBorders>
              <w:top w:val="single" w:color="FFFFFF" w:themeColor="background1" w:sz="8" w:space="0"/>
              <w:left w:val="single" w:color="FFFFFF" w:themeColor="background1" w:sz="8" w:space="0"/>
              <w:right w:val="single" w:color="FFFFFF" w:themeColor="background1" w:sz="24" w:space="0"/>
              <w:insideH w:val="single" w:sz="8" w:space="0"/>
              <w:insideV w:val="single" w:sz="24" w:space="0"/>
            </w:tcBorders>
            <w:shd w:val="clear" w:color="auto" w:fill="4BACC6" w:themeFill="accent5"/>
            <w:vAlign w:val="center"/>
          </w:tcPr>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p>
            <w:pPr>
              <w:jc w:val="center"/>
              <w:rPr>
                <w:rFonts w:cs="Times New Roman" w:asciiTheme="minorEastAsia" w:hAnsiTheme="minorEastAsia" w:eastAsiaTheme="minorEastAsia"/>
                <w:b/>
                <w:bCs/>
                <w:i w:val="0"/>
                <w:iCs w:val="0"/>
                <w:color w:val="FFFFFF" w:themeColor="background1"/>
                <w:kern w:val="2"/>
                <w:sz w:val="20"/>
                <w:szCs w:val="20"/>
                <w:lang w:val="ru-RU" w:eastAsia="zh-CN" w:bidi="ar-SA"/>
                <w14:textFill>
                  <w14:solidFill>
                    <w14:schemeClr w14:val="bg1"/>
                  </w14:solidFill>
                </w14:textFill>
              </w:rPr>
            </w:pPr>
            <w: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t>电梯工程学院</w:t>
            </w:r>
          </w:p>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6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eastAsia" w:cs="Times New Roman" w:asciiTheme="minorEastAsia" w:hAnsiTheme="minorEastAsia" w:eastAsiaTheme="minorEastAsia"/>
                <w:kern w:val="2"/>
                <w:sz w:val="20"/>
                <w:szCs w:val="20"/>
                <w:lang w:val="ru-RU" w:eastAsia="zh-CN" w:bidi="ar-SA"/>
              </w:rPr>
            </w:pPr>
            <w:r>
              <w:rPr>
                <w:rFonts w:hint="eastAsia" w:asciiTheme="minorEastAsia" w:hAnsiTheme="minorEastAsia" w:eastAsiaTheme="minorEastAsia"/>
                <w:sz w:val="20"/>
                <w:szCs w:val="20"/>
                <w:lang w:val="ru-RU"/>
              </w:rPr>
              <w:t>电梯工程技术</w:t>
            </w:r>
          </w:p>
        </w:tc>
        <w:tc>
          <w:tcPr>
            <w:tcW w:w="1238"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252</w:t>
            </w:r>
          </w:p>
        </w:tc>
        <w:tc>
          <w:tcPr>
            <w:tcW w:w="121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center"/>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1</w:t>
            </w:r>
          </w:p>
        </w:tc>
        <w:tc>
          <w:tcPr>
            <w:tcW w:w="1063"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center"/>
          </w:tcPr>
          <w:p>
            <w:pPr>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0.40</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rPr>
          <w:trHeight w:val="252" w:hRule="atLeast"/>
        </w:trPr>
        <w:tc>
          <w:tcPr>
            <w:tcW w:w="2338" w:type="dxa"/>
            <w:vMerge w:val="continue"/>
            <w:tcBorders>
              <w:left w:val="single" w:color="FFFFFF" w:themeColor="background1" w:sz="8" w:space="0"/>
              <w:right w:val="single" w:color="FFFFFF" w:themeColor="background1" w:sz="24" w:space="0"/>
              <w:insideH w:val="single" w:sz="8" w:space="0"/>
              <w:insideV w:val="single" w:sz="24" w:space="0"/>
            </w:tcBorders>
            <w:shd w:val="clear" w:color="auto" w:fill="4BACC6" w:themeFill="accent5"/>
            <w:vAlign w:val="center"/>
          </w:tcPr>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6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eastAsia" w:cs="Times New Roman" w:asciiTheme="minorEastAsia" w:hAnsiTheme="minorEastAsia" w:eastAsiaTheme="minorEastAsia"/>
                <w:kern w:val="2"/>
                <w:sz w:val="20"/>
                <w:szCs w:val="20"/>
                <w:lang w:val="ru-RU" w:eastAsia="zh-CN" w:bidi="ar-SA"/>
              </w:rPr>
            </w:pPr>
            <w:r>
              <w:rPr>
                <w:rFonts w:hint="eastAsia" w:asciiTheme="minorEastAsia" w:hAnsiTheme="minorEastAsia" w:eastAsiaTheme="minorEastAsia"/>
                <w:sz w:val="20"/>
                <w:szCs w:val="20"/>
                <w:lang w:val="ru-RU"/>
              </w:rPr>
              <w:t>机电一体化技术</w:t>
            </w:r>
          </w:p>
        </w:tc>
        <w:tc>
          <w:tcPr>
            <w:tcW w:w="1238"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221</w:t>
            </w:r>
          </w:p>
        </w:tc>
        <w:tc>
          <w:tcPr>
            <w:tcW w:w="121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center"/>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2</w:t>
            </w:r>
          </w:p>
        </w:tc>
        <w:tc>
          <w:tcPr>
            <w:tcW w:w="1063"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center"/>
          </w:tcPr>
          <w:p>
            <w:pPr>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0.90</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38" w:type="dxa"/>
            <w:vMerge w:val="continue"/>
            <w:tcBorders>
              <w:left w:val="single" w:color="FFFFFF" w:themeColor="background1" w:sz="8" w:space="0"/>
              <w:right w:val="single" w:color="FFFFFF" w:themeColor="background1" w:sz="24" w:space="0"/>
              <w:insideH w:val="single" w:sz="8" w:space="0"/>
              <w:insideV w:val="single" w:sz="24" w:space="0"/>
            </w:tcBorders>
            <w:shd w:val="clear" w:color="auto" w:fill="4BACC6" w:themeFill="accent5"/>
            <w:vAlign w:val="center"/>
          </w:tcPr>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6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ru-RU" w:eastAsia="zh-CN" w:bidi="ar-SA"/>
              </w:rPr>
            </w:pPr>
            <w:r>
              <w:rPr>
                <w:rFonts w:hint="eastAsia" w:asciiTheme="minorEastAsia" w:hAnsiTheme="minorEastAsia" w:eastAsiaTheme="minorEastAsia"/>
                <w:sz w:val="20"/>
                <w:szCs w:val="20"/>
                <w:lang w:val="en-US" w:eastAsia="zh-CN"/>
              </w:rPr>
              <w:t>物联网应用技术</w:t>
            </w:r>
          </w:p>
        </w:tc>
        <w:tc>
          <w:tcPr>
            <w:tcW w:w="1238"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36</w:t>
            </w:r>
          </w:p>
        </w:tc>
        <w:tc>
          <w:tcPr>
            <w:tcW w:w="121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center"/>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0</w:t>
            </w:r>
          </w:p>
        </w:tc>
        <w:tc>
          <w:tcPr>
            <w:tcW w:w="1063"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center"/>
          </w:tcPr>
          <w:p>
            <w:pPr>
              <w:jc w:val="center"/>
              <w:rPr>
                <w:rFonts w:hint="eastAsia"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0.00</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38" w:type="dxa"/>
            <w:vMerge w:val="continue"/>
            <w:tcBorders>
              <w:left w:val="single" w:color="FFFFFF" w:themeColor="background1" w:sz="8" w:space="0"/>
              <w:right w:val="single" w:color="FFFFFF" w:themeColor="background1" w:sz="24" w:space="0"/>
              <w:insideH w:val="single" w:sz="8" w:space="0"/>
              <w:insideV w:val="single" w:sz="24" w:space="0"/>
            </w:tcBorders>
            <w:shd w:val="clear" w:color="auto" w:fill="4BACC6" w:themeFill="accent5"/>
            <w:vAlign w:val="center"/>
          </w:tcPr>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6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right"/>
              <w:rPr>
                <w:rFonts w:hint="default" w:cs="Times New Roman" w:asciiTheme="minorEastAsia" w:hAnsiTheme="minorEastAsia" w:eastAsiaTheme="minorEastAsia"/>
                <w:b/>
                <w:bCs/>
                <w:color w:val="1F497D" w:themeColor="text2"/>
                <w:kern w:val="2"/>
                <w:sz w:val="20"/>
                <w:szCs w:val="20"/>
                <w:highlight w:val="none"/>
                <w:lang w:val="ru-RU" w:eastAsia="zh-CN" w:bidi="ar-SA"/>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电梯工程学院 汇总</w:t>
            </w:r>
          </w:p>
        </w:tc>
        <w:tc>
          <w:tcPr>
            <w:tcW w:w="1238"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right"/>
              <w:rPr>
                <w:rFonts w:hint="default" w:cs="Times New Roman" w:asciiTheme="minorEastAsia" w:hAnsiTheme="minorEastAsia" w:eastAsiaTheme="minorEastAsia"/>
                <w:b/>
                <w:bCs/>
                <w:color w:val="1F497D" w:themeColor="text2"/>
                <w:kern w:val="2"/>
                <w:sz w:val="20"/>
                <w:szCs w:val="20"/>
                <w:highlight w:val="none"/>
                <w:lang w:val="en-US" w:eastAsia="zh-CN" w:bidi="ar-SA"/>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509</w:t>
            </w:r>
          </w:p>
        </w:tc>
        <w:tc>
          <w:tcPr>
            <w:tcW w:w="121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center"/>
          </w:tcPr>
          <w:p>
            <w:pPr>
              <w:jc w:val="right"/>
              <w:rPr>
                <w:rFonts w:hint="default" w:cs="Times New Roman" w:asciiTheme="minorEastAsia" w:hAnsiTheme="minorEastAsia" w:eastAsiaTheme="minorEastAsia"/>
                <w:kern w:val="2"/>
                <w:sz w:val="20"/>
                <w:szCs w:val="20"/>
                <w:highlight w:val="none"/>
                <w:lang w:val="en-US" w:eastAsia="zh-CN" w:bidi="ar-SA"/>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3</w:t>
            </w:r>
          </w:p>
        </w:tc>
        <w:tc>
          <w:tcPr>
            <w:tcW w:w="1063"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center"/>
          </w:tcPr>
          <w:p>
            <w:pPr>
              <w:jc w:val="right"/>
              <w:rPr>
                <w:rFonts w:hint="eastAsia" w:asciiTheme="minorEastAsia" w:hAnsiTheme="minorEastAsia" w:eastAsiaTheme="minorEastAsia"/>
                <w:b/>
                <w:bCs/>
                <w:color w:val="1F497D" w:themeColor="text2"/>
                <w:sz w:val="20"/>
                <w:szCs w:val="20"/>
                <w:highlight w:val="none"/>
                <w:lang w:val="en-US" w:eastAsia="zh-CN"/>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0.59</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38" w:type="dxa"/>
            <w:vMerge w:val="restart"/>
            <w:tcBorders>
              <w:left w:val="single" w:color="FFFFFF" w:themeColor="background1" w:sz="8" w:space="0"/>
              <w:right w:val="single" w:color="FFFFFF" w:themeColor="background1" w:sz="24" w:space="0"/>
              <w:insideH w:val="single" w:sz="8" w:space="0"/>
              <w:insideV w:val="single" w:sz="24" w:space="0"/>
            </w:tcBorders>
            <w:shd w:val="clear" w:color="auto" w:fill="4BACC6" w:themeFill="accent5"/>
            <w:vAlign w:val="center"/>
          </w:tcPr>
          <w:p>
            <w:pPr>
              <w:jc w:val="center"/>
              <w:rPr>
                <w:rFonts w:hint="eastAsia" w:cs="Times New Roman" w:asciiTheme="minorEastAsia" w:hAnsiTheme="minorEastAsia" w:eastAsiaTheme="minorEastAsia"/>
                <w:b/>
                <w:bCs/>
                <w:i w:val="0"/>
                <w:iCs w:val="0"/>
                <w:color w:val="FFFFFF" w:themeColor="background1"/>
                <w:kern w:val="2"/>
                <w:sz w:val="20"/>
                <w:szCs w:val="20"/>
                <w:lang w:val="en-US" w:eastAsia="zh-CN" w:bidi="ar-SA"/>
                <w14:textFill>
                  <w14:solidFill>
                    <w14:schemeClr w14:val="bg1"/>
                  </w14:solidFill>
                </w14:textFill>
              </w:rPr>
            </w:pPr>
          </w:p>
          <w:p>
            <w:pPr>
              <w:jc w:val="center"/>
              <w:rPr>
                <w:rFonts w:hint="default" w:cs="Times New Roman" w:asciiTheme="minorEastAsia" w:hAnsiTheme="minorEastAsia" w:eastAsiaTheme="minorEastAsia"/>
                <w:b/>
                <w:bCs/>
                <w:i w:val="0"/>
                <w:iCs w:val="0"/>
                <w:color w:val="FFFFFF" w:themeColor="background1"/>
                <w:kern w:val="2"/>
                <w:sz w:val="20"/>
                <w:szCs w:val="20"/>
                <w:lang w:val="en-US" w:eastAsia="zh-CN" w:bidi="ar-SA"/>
                <w14:textFill>
                  <w14:solidFill>
                    <w14:schemeClr w14:val="bg1"/>
                  </w14:solidFill>
                </w14:textFill>
              </w:rPr>
            </w:pPr>
            <w:r>
              <w:rPr>
                <w:rFonts w:hint="eastAsia" w:cs="Times New Roman" w:asciiTheme="minorEastAsia" w:hAnsiTheme="minorEastAsia" w:eastAsiaTheme="minorEastAsia"/>
                <w:b/>
                <w:bCs/>
                <w:i w:val="0"/>
                <w:iCs w:val="0"/>
                <w:color w:val="FFFFFF" w:themeColor="background1"/>
                <w:kern w:val="2"/>
                <w:sz w:val="20"/>
                <w:szCs w:val="20"/>
                <w:lang w:val="en-US" w:eastAsia="zh-CN" w:bidi="ar-SA"/>
                <w14:textFill>
                  <w14:solidFill>
                    <w14:schemeClr w14:val="bg1"/>
                  </w14:solidFill>
                </w14:textFill>
              </w:rPr>
              <w:t>艺术创意学院</w:t>
            </w:r>
          </w:p>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6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ru-RU" w:eastAsia="zh-CN"/>
              </w:rPr>
              <w:t>电子商务</w:t>
            </w:r>
          </w:p>
        </w:tc>
        <w:tc>
          <w:tcPr>
            <w:tcW w:w="1238"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433</w:t>
            </w:r>
          </w:p>
        </w:tc>
        <w:tc>
          <w:tcPr>
            <w:tcW w:w="121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center"/>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15</w:t>
            </w:r>
          </w:p>
        </w:tc>
        <w:tc>
          <w:tcPr>
            <w:tcW w:w="1063"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center"/>
          </w:tcPr>
          <w:p>
            <w:pPr>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3.46</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38" w:type="dxa"/>
            <w:vMerge w:val="continue"/>
            <w:tcBorders>
              <w:left w:val="single" w:color="FFFFFF" w:themeColor="background1" w:sz="8" w:space="0"/>
              <w:right w:val="single" w:color="FFFFFF" w:themeColor="background1" w:sz="24" w:space="0"/>
              <w:insideH w:val="single" w:sz="8" w:space="0"/>
              <w:insideV w:val="single" w:sz="24" w:space="0"/>
            </w:tcBorders>
            <w:shd w:val="clear" w:color="auto" w:fill="4BACC6" w:themeFill="accent5"/>
            <w:vAlign w:val="center"/>
          </w:tcPr>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6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ru-RU" w:eastAsia="zh-CN"/>
              </w:rPr>
              <w:t>服装与服饰设计</w:t>
            </w:r>
          </w:p>
        </w:tc>
        <w:tc>
          <w:tcPr>
            <w:tcW w:w="1238"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91</w:t>
            </w:r>
          </w:p>
        </w:tc>
        <w:tc>
          <w:tcPr>
            <w:tcW w:w="121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center"/>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0</w:t>
            </w:r>
          </w:p>
        </w:tc>
        <w:tc>
          <w:tcPr>
            <w:tcW w:w="1063"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center"/>
          </w:tcPr>
          <w:p>
            <w:pPr>
              <w:jc w:val="center"/>
              <w:rPr>
                <w:rFonts w:hint="eastAsia"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0.00</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38" w:type="dxa"/>
            <w:vMerge w:val="continue"/>
            <w:tcBorders>
              <w:left w:val="single" w:color="FFFFFF" w:themeColor="background1" w:sz="8" w:space="0"/>
              <w:bottom w:val="single" w:color="FFFFFF" w:themeColor="background1" w:sz="8" w:space="0"/>
              <w:right w:val="single" w:color="FFFFFF" w:themeColor="background1" w:sz="24" w:space="0"/>
              <w:insideH w:val="single" w:sz="8" w:space="0"/>
              <w:insideV w:val="single" w:sz="24" w:space="0"/>
            </w:tcBorders>
            <w:shd w:val="clear" w:color="auto" w:fill="4BACC6" w:themeFill="accent5"/>
            <w:vAlign w:val="center"/>
          </w:tcPr>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6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cs="Times New Roman" w:asciiTheme="minorEastAsia" w:hAnsiTheme="minorEastAsia" w:eastAsiaTheme="minorEastAsia"/>
                <w:b/>
                <w:bCs/>
                <w:color w:val="1F497D" w:themeColor="text2"/>
                <w:kern w:val="2"/>
                <w:sz w:val="20"/>
                <w:szCs w:val="20"/>
                <w:lang w:val="en-US" w:eastAsia="zh-CN" w:bidi="ar-SA"/>
                <w14:textFill>
                  <w14:solidFill>
                    <w14:schemeClr w14:val="tx2"/>
                  </w14:solidFill>
                </w14:textFill>
              </w:rPr>
            </w:pPr>
            <w:r>
              <w:rPr>
                <w:rFonts w:hint="eastAsia" w:asciiTheme="minorEastAsia" w:hAnsiTheme="minorEastAsia" w:eastAsiaTheme="minorEastAsia"/>
                <w:sz w:val="20"/>
                <w:szCs w:val="20"/>
                <w:lang w:val="ru-RU" w:eastAsia="zh-CN"/>
              </w:rPr>
              <w:t>广告设计与制作</w:t>
            </w:r>
          </w:p>
        </w:tc>
        <w:tc>
          <w:tcPr>
            <w:tcW w:w="1238"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cs="Times New Roman" w:asciiTheme="minorEastAsia" w:hAnsiTheme="minorEastAsia" w:eastAsiaTheme="minorEastAsia"/>
                <w:b/>
                <w:bCs/>
                <w:color w:val="1F497D" w:themeColor="text2"/>
                <w:kern w:val="2"/>
                <w:sz w:val="20"/>
                <w:szCs w:val="20"/>
                <w:lang w:val="en-US" w:eastAsia="zh-CN" w:bidi="ar-SA"/>
                <w14:textFill>
                  <w14:solidFill>
                    <w14:schemeClr w14:val="tx2"/>
                  </w14:solidFill>
                </w14:textFill>
              </w:rPr>
            </w:pPr>
            <w:r>
              <w:rPr>
                <w:rFonts w:hint="eastAsia" w:asciiTheme="minorEastAsia" w:hAnsiTheme="minorEastAsia" w:eastAsiaTheme="minorEastAsia"/>
                <w:sz w:val="20"/>
                <w:szCs w:val="20"/>
                <w:lang w:val="en-US" w:eastAsia="zh-CN"/>
              </w:rPr>
              <w:t>189</w:t>
            </w:r>
          </w:p>
        </w:tc>
        <w:tc>
          <w:tcPr>
            <w:tcW w:w="121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center"/>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0</w:t>
            </w:r>
          </w:p>
        </w:tc>
        <w:tc>
          <w:tcPr>
            <w:tcW w:w="1063"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center"/>
          </w:tcPr>
          <w:p>
            <w:pPr>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0.00</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38" w:type="dxa"/>
            <w:vMerge w:val="continue"/>
            <w:tcBorders>
              <w:top w:val="single" w:color="FFFFFF" w:themeColor="background1" w:sz="8" w:space="0"/>
              <w:left w:val="single" w:color="FFFFFF" w:themeColor="background1" w:sz="8" w:space="0"/>
              <w:bottom w:val="single" w:color="FFFFFF" w:themeColor="background1" w:sz="8" w:space="0"/>
              <w:right w:val="single" w:color="FFFFFF" w:themeColor="background1" w:sz="24" w:space="0"/>
              <w:insideH w:val="single" w:sz="8" w:space="0"/>
              <w:insideV w:val="single" w:sz="24" w:space="0"/>
            </w:tcBorders>
            <w:shd w:val="clear" w:color="auto" w:fill="4BACC6" w:themeFill="accent5"/>
            <w:vAlign w:val="center"/>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6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right"/>
              <w:rPr>
                <w:rFonts w:asciiTheme="minorEastAsia" w:hAnsiTheme="minorEastAsia" w:eastAsiaTheme="minorEastAsia"/>
                <w:sz w:val="20"/>
                <w:szCs w:val="20"/>
                <w:highlight w:val="none"/>
                <w:lang w:val="ru-RU"/>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艺术创意学院 汇总</w:t>
            </w:r>
          </w:p>
        </w:tc>
        <w:tc>
          <w:tcPr>
            <w:tcW w:w="1238"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right"/>
              <w:rPr>
                <w:rFonts w:hint="default" w:asciiTheme="minorEastAsia" w:hAnsiTheme="minorEastAsia" w:eastAsiaTheme="minorEastAsia"/>
                <w:b/>
                <w:bCs/>
                <w:sz w:val="20"/>
                <w:szCs w:val="20"/>
                <w:highlight w:val="none"/>
                <w:lang w:val="en-US" w:eastAsia="zh-CN"/>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713</w:t>
            </w:r>
          </w:p>
        </w:tc>
        <w:tc>
          <w:tcPr>
            <w:tcW w:w="121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center"/>
          </w:tcPr>
          <w:p>
            <w:pPr>
              <w:jc w:val="right"/>
              <w:rPr>
                <w:rFonts w:hint="default" w:asciiTheme="minorEastAsia" w:hAnsiTheme="minorEastAsia" w:eastAsiaTheme="minorEastAsia"/>
                <w:b/>
                <w:bCs/>
                <w:sz w:val="20"/>
                <w:szCs w:val="20"/>
                <w:highlight w:val="none"/>
                <w:lang w:val="en-US"/>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15</w:t>
            </w:r>
          </w:p>
        </w:tc>
        <w:tc>
          <w:tcPr>
            <w:tcW w:w="1063"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center"/>
          </w:tcPr>
          <w:p>
            <w:pPr>
              <w:jc w:val="right"/>
              <w:rPr>
                <w:rFonts w:hint="eastAsia" w:asciiTheme="minorEastAsia" w:hAnsiTheme="minorEastAsia" w:eastAsiaTheme="minorEastAsia"/>
                <w:b/>
                <w:bCs/>
                <w:color w:val="1F497D" w:themeColor="text2"/>
                <w:sz w:val="20"/>
                <w:szCs w:val="20"/>
                <w:highlight w:val="none"/>
                <w:lang w:val="en-US" w:eastAsia="zh-CN"/>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2.10</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38" w:type="dxa"/>
            <w:vMerge w:val="restart"/>
            <w:tcBorders>
              <w:top w:val="single" w:color="FFFFFF" w:themeColor="background1" w:sz="8" w:space="0"/>
              <w:left w:val="single" w:color="FFFFFF" w:themeColor="background1" w:sz="8" w:space="0"/>
              <w:right w:val="single" w:color="FFFFFF" w:themeColor="background1" w:sz="24" w:space="0"/>
              <w:insideH w:val="single" w:sz="8" w:space="0"/>
              <w:insideV w:val="single" w:sz="24" w:space="0"/>
            </w:tcBorders>
            <w:shd w:val="clear" w:color="auto" w:fill="4BACC6" w:themeFill="accent5"/>
            <w:vAlign w:val="center"/>
          </w:tcPr>
          <w:p>
            <w:pPr>
              <w:jc w:val="center"/>
              <w:rPr>
                <w:rFonts w:hint="eastAsia" w:cs="Times New Roman" w:asciiTheme="minorEastAsia" w:hAnsiTheme="minorEastAsia" w:eastAsiaTheme="minorEastAsia"/>
                <w:b/>
                <w:bCs/>
                <w:i w:val="0"/>
                <w:iCs w:val="0"/>
                <w:color w:val="FFFFFF" w:themeColor="background1"/>
                <w:kern w:val="2"/>
                <w:sz w:val="20"/>
                <w:szCs w:val="20"/>
                <w:lang w:val="en-US" w:eastAsia="zh-CN" w:bidi="ar-SA"/>
                <w14:textFill>
                  <w14:solidFill>
                    <w14:schemeClr w14:val="bg1"/>
                  </w14:solidFill>
                </w14:textFill>
              </w:rPr>
            </w:pPr>
            <w: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t>生物工程</w:t>
            </w:r>
            <w:r>
              <w:rPr>
                <w:rFonts w:hint="eastAsia" w:asciiTheme="minorEastAsia" w:hAnsiTheme="minorEastAsia" w:eastAsiaTheme="minorEastAsia"/>
                <w:b/>
                <w:bCs/>
                <w:i w:val="0"/>
                <w:iCs w:val="0"/>
                <w:color w:val="FFFFFF" w:themeColor="background1"/>
                <w:sz w:val="20"/>
                <w:szCs w:val="20"/>
                <w:lang w:val="en-US" w:eastAsia="zh-CN"/>
                <w14:textFill>
                  <w14:solidFill>
                    <w14:schemeClr w14:val="bg1"/>
                  </w14:solidFill>
                </w14:textFill>
              </w:rPr>
              <w:t>学院</w:t>
            </w:r>
          </w:p>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6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eastAsia" w:cs="Times New Roman" w:asciiTheme="minorEastAsia" w:hAnsiTheme="minorEastAsia" w:eastAsiaTheme="minorEastAsia"/>
                <w:kern w:val="2"/>
                <w:sz w:val="20"/>
                <w:szCs w:val="20"/>
                <w:lang w:val="ru-RU" w:eastAsia="zh-CN" w:bidi="ar-SA"/>
              </w:rPr>
            </w:pPr>
            <w:r>
              <w:rPr>
                <w:rFonts w:hint="eastAsia" w:asciiTheme="minorEastAsia" w:hAnsiTheme="minorEastAsia" w:eastAsiaTheme="minorEastAsia"/>
                <w:sz w:val="20"/>
                <w:szCs w:val="20"/>
                <w:lang w:val="ru-RU"/>
              </w:rPr>
              <w:t>动物医学</w:t>
            </w:r>
          </w:p>
        </w:tc>
        <w:tc>
          <w:tcPr>
            <w:tcW w:w="1238"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266</w:t>
            </w:r>
          </w:p>
        </w:tc>
        <w:tc>
          <w:tcPr>
            <w:tcW w:w="121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center"/>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5</w:t>
            </w:r>
          </w:p>
        </w:tc>
        <w:tc>
          <w:tcPr>
            <w:tcW w:w="1063"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center"/>
          </w:tcPr>
          <w:p>
            <w:pPr>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1.88</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rPr>
          <w:trHeight w:val="252" w:hRule="atLeast"/>
        </w:trPr>
        <w:tc>
          <w:tcPr>
            <w:tcW w:w="2338" w:type="dxa"/>
            <w:vMerge w:val="continue"/>
            <w:tcBorders>
              <w:left w:val="single" w:color="FFFFFF" w:themeColor="background1" w:sz="8" w:space="0"/>
              <w:right w:val="single" w:color="FFFFFF" w:themeColor="background1" w:sz="24" w:space="0"/>
              <w:insideH w:val="single" w:sz="8" w:space="0"/>
              <w:insideV w:val="single" w:sz="24" w:space="0"/>
            </w:tcBorders>
            <w:shd w:val="clear" w:color="auto" w:fill="4BACC6" w:themeFill="accent5"/>
            <w:vAlign w:val="center"/>
          </w:tcPr>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6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eastAsia" w:cs="Times New Roman" w:asciiTheme="minorEastAsia" w:hAnsiTheme="minorEastAsia" w:eastAsiaTheme="minorEastAsia"/>
                <w:kern w:val="2"/>
                <w:sz w:val="20"/>
                <w:szCs w:val="20"/>
                <w:lang w:val="ru-RU" w:eastAsia="zh-CN" w:bidi="ar-SA"/>
              </w:rPr>
            </w:pPr>
            <w:r>
              <w:rPr>
                <w:rFonts w:hint="eastAsia" w:asciiTheme="minorEastAsia" w:hAnsiTheme="minorEastAsia" w:eastAsiaTheme="minorEastAsia"/>
                <w:sz w:val="20"/>
                <w:szCs w:val="20"/>
                <w:lang w:val="ru-RU"/>
              </w:rPr>
              <w:t>药品生产技术</w:t>
            </w:r>
          </w:p>
        </w:tc>
        <w:tc>
          <w:tcPr>
            <w:tcW w:w="1238"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81</w:t>
            </w:r>
          </w:p>
        </w:tc>
        <w:tc>
          <w:tcPr>
            <w:tcW w:w="121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center"/>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0</w:t>
            </w:r>
          </w:p>
        </w:tc>
        <w:tc>
          <w:tcPr>
            <w:tcW w:w="1063"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center"/>
          </w:tcPr>
          <w:p>
            <w:pPr>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0.00</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38" w:type="dxa"/>
            <w:vMerge w:val="continue"/>
            <w:tcBorders>
              <w:left w:val="single" w:color="FFFFFF" w:themeColor="background1" w:sz="8" w:space="0"/>
              <w:right w:val="single" w:color="FFFFFF" w:themeColor="background1" w:sz="24" w:space="0"/>
              <w:insideH w:val="single" w:sz="8" w:space="0"/>
              <w:insideV w:val="single" w:sz="24" w:space="0"/>
            </w:tcBorders>
            <w:shd w:val="clear" w:color="auto" w:fill="4BACC6" w:themeFill="accent5"/>
            <w:vAlign w:val="center"/>
          </w:tcPr>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6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ru-RU" w:eastAsia="zh-CN" w:bidi="ar-SA"/>
              </w:rPr>
            </w:pPr>
            <w:r>
              <w:rPr>
                <w:rFonts w:hint="eastAsia" w:asciiTheme="minorEastAsia" w:hAnsiTheme="minorEastAsia" w:eastAsiaTheme="minorEastAsia"/>
                <w:sz w:val="20"/>
                <w:szCs w:val="20"/>
                <w:lang w:val="en-US" w:eastAsia="zh-CN"/>
              </w:rPr>
              <w:t>宠物临床诊疗技术</w:t>
            </w:r>
          </w:p>
        </w:tc>
        <w:tc>
          <w:tcPr>
            <w:tcW w:w="1238"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38</w:t>
            </w:r>
          </w:p>
        </w:tc>
        <w:tc>
          <w:tcPr>
            <w:tcW w:w="121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center"/>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0</w:t>
            </w:r>
          </w:p>
        </w:tc>
        <w:tc>
          <w:tcPr>
            <w:tcW w:w="1063"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center"/>
          </w:tcPr>
          <w:p>
            <w:pPr>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0.00</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38" w:type="dxa"/>
            <w:vMerge w:val="continue"/>
            <w:tcBorders>
              <w:left w:val="single" w:color="FFFFFF" w:themeColor="background1" w:sz="8" w:space="0"/>
              <w:right w:val="single" w:color="FFFFFF" w:themeColor="background1" w:sz="24" w:space="0"/>
              <w:insideH w:val="single" w:sz="8" w:space="0"/>
              <w:insideV w:val="single" w:sz="24" w:space="0"/>
            </w:tcBorders>
            <w:shd w:val="clear" w:color="auto" w:fill="4BACC6" w:themeFill="accent5"/>
            <w:vAlign w:val="center"/>
          </w:tcPr>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6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right"/>
              <w:rPr>
                <w:rFonts w:hint="default" w:cs="Times New Roman" w:asciiTheme="minorEastAsia" w:hAnsiTheme="minorEastAsia" w:eastAsiaTheme="minorEastAsia"/>
                <w:b/>
                <w:bCs/>
                <w:color w:val="1F497D" w:themeColor="text2"/>
                <w:kern w:val="2"/>
                <w:sz w:val="20"/>
                <w:szCs w:val="20"/>
                <w:highlight w:val="none"/>
                <w:lang w:val="ru-RU" w:eastAsia="zh-CN" w:bidi="ar-SA"/>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生物工程学院 汇总</w:t>
            </w:r>
          </w:p>
        </w:tc>
        <w:tc>
          <w:tcPr>
            <w:tcW w:w="1238"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right"/>
              <w:rPr>
                <w:rFonts w:hint="default" w:cs="Times New Roman" w:asciiTheme="minorEastAsia" w:hAnsiTheme="minorEastAsia" w:eastAsiaTheme="minorEastAsia"/>
                <w:b/>
                <w:bCs/>
                <w:color w:val="1F497D" w:themeColor="text2"/>
                <w:kern w:val="2"/>
                <w:sz w:val="20"/>
                <w:szCs w:val="20"/>
                <w:highlight w:val="none"/>
                <w:lang w:val="en-US" w:eastAsia="zh-CN" w:bidi="ar-SA"/>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385</w:t>
            </w:r>
          </w:p>
        </w:tc>
        <w:tc>
          <w:tcPr>
            <w:tcW w:w="121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center"/>
          </w:tcPr>
          <w:p>
            <w:pPr>
              <w:jc w:val="right"/>
              <w:rPr>
                <w:rFonts w:hint="default" w:cs="Times New Roman" w:asciiTheme="minorEastAsia" w:hAnsiTheme="minorEastAsia" w:eastAsiaTheme="minorEastAsia"/>
                <w:kern w:val="2"/>
                <w:sz w:val="20"/>
                <w:szCs w:val="20"/>
                <w:highlight w:val="none"/>
                <w:lang w:val="en-US" w:eastAsia="zh-CN" w:bidi="ar-SA"/>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5</w:t>
            </w:r>
          </w:p>
        </w:tc>
        <w:tc>
          <w:tcPr>
            <w:tcW w:w="1063"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center"/>
          </w:tcPr>
          <w:p>
            <w:pPr>
              <w:jc w:val="right"/>
              <w:rPr>
                <w:rFonts w:hint="eastAsia" w:asciiTheme="minorEastAsia" w:hAnsiTheme="minorEastAsia" w:eastAsiaTheme="minorEastAsia"/>
                <w:b/>
                <w:bCs/>
                <w:color w:val="1F497D" w:themeColor="text2"/>
                <w:sz w:val="20"/>
                <w:szCs w:val="20"/>
                <w:highlight w:val="none"/>
                <w:lang w:val="en-US" w:eastAsia="zh-CN"/>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1.30</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rPr>
          <w:trHeight w:val="90" w:hRule="atLeast"/>
        </w:trPr>
        <w:tc>
          <w:tcPr>
            <w:tcW w:w="2338" w:type="dxa"/>
            <w:vMerge w:val="restart"/>
            <w:tcBorders>
              <w:left w:val="single" w:color="FFFFFF" w:themeColor="background1" w:sz="8" w:space="0"/>
              <w:right w:val="single" w:color="FFFFFF" w:themeColor="background1" w:sz="24" w:space="0"/>
              <w:insideH w:val="nil"/>
              <w:insideV w:val="single" w:sz="24" w:space="0"/>
            </w:tcBorders>
            <w:shd w:val="clear" w:color="auto" w:fill="4BACC6" w:themeFill="accent5"/>
            <w:vAlign w:val="center"/>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t>汽车与智能制造学院</w:t>
            </w:r>
          </w:p>
        </w:tc>
        <w:tc>
          <w:tcPr>
            <w:tcW w:w="2662" w:type="dxa"/>
            <w:shd w:val="clear" w:color="auto" w:fill="92CDDC" w:themeFill="accent5" w:themeFillTint="99"/>
            <w:vAlign w:val="top"/>
          </w:tcPr>
          <w:p>
            <w:pPr>
              <w:jc w:val="center"/>
              <w:rPr>
                <w:rFonts w:asciiTheme="minorEastAsia" w:hAnsiTheme="minorEastAsia" w:eastAsiaTheme="minorEastAsia"/>
                <w:sz w:val="20"/>
                <w:szCs w:val="20"/>
                <w:lang w:val="ru-RU"/>
              </w:rPr>
            </w:pPr>
            <w:r>
              <w:rPr>
                <w:rFonts w:hint="eastAsia" w:asciiTheme="minorEastAsia" w:hAnsiTheme="minorEastAsia" w:eastAsiaTheme="minorEastAsia"/>
                <w:sz w:val="20"/>
                <w:szCs w:val="20"/>
                <w:lang w:val="ru-RU" w:eastAsia="zh-CN"/>
              </w:rPr>
              <w:t>汽车检测与维修技术</w:t>
            </w:r>
          </w:p>
        </w:tc>
        <w:tc>
          <w:tcPr>
            <w:tcW w:w="1238" w:type="dxa"/>
            <w:shd w:val="clear" w:color="auto" w:fill="92CDDC" w:themeFill="accent5" w:themeFillTint="99"/>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168</w:t>
            </w:r>
          </w:p>
        </w:tc>
        <w:tc>
          <w:tcPr>
            <w:tcW w:w="1212" w:type="dxa"/>
            <w:shd w:val="clear" w:color="auto" w:fill="92CDDC" w:themeFill="accent5" w:themeFillTint="99"/>
            <w:vAlign w:val="center"/>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5</w:t>
            </w:r>
          </w:p>
        </w:tc>
        <w:tc>
          <w:tcPr>
            <w:tcW w:w="1063" w:type="dxa"/>
            <w:shd w:val="clear" w:color="auto" w:fill="92CDDC" w:themeFill="accent5" w:themeFillTint="99"/>
            <w:vAlign w:val="center"/>
          </w:tcPr>
          <w:p>
            <w:pPr>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2.98</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38"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top"/>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6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asciiTheme="minorEastAsia" w:hAnsiTheme="minorEastAsia" w:eastAsiaTheme="minorEastAsia"/>
                <w:sz w:val="20"/>
                <w:szCs w:val="20"/>
                <w:lang w:val="ru-RU"/>
              </w:rPr>
            </w:pPr>
            <w:r>
              <w:rPr>
                <w:rFonts w:hint="eastAsia" w:asciiTheme="minorEastAsia" w:hAnsiTheme="minorEastAsia" w:eastAsiaTheme="minorEastAsia"/>
                <w:sz w:val="20"/>
                <w:szCs w:val="20"/>
                <w:lang w:val="en-US" w:eastAsia="zh-CN"/>
              </w:rPr>
              <w:t>工业机器人技术</w:t>
            </w:r>
          </w:p>
        </w:tc>
        <w:tc>
          <w:tcPr>
            <w:tcW w:w="1238"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188</w:t>
            </w:r>
          </w:p>
        </w:tc>
        <w:tc>
          <w:tcPr>
            <w:tcW w:w="121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center"/>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5</w:t>
            </w:r>
          </w:p>
        </w:tc>
        <w:tc>
          <w:tcPr>
            <w:tcW w:w="1063"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center"/>
          </w:tcPr>
          <w:p>
            <w:pPr>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2.66</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38"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top"/>
          </w:tcPr>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62" w:type="dxa"/>
            <w:shd w:val="clear" w:color="auto" w:fill="92CDDC" w:themeFill="accent5" w:themeFillTint="99"/>
            <w:vAlign w:val="top"/>
          </w:tcPr>
          <w:p>
            <w:pPr>
              <w:jc w:val="right"/>
              <w:rPr>
                <w:rFonts w:hint="default" w:asciiTheme="minorEastAsia" w:hAnsiTheme="minorEastAsia" w:eastAsiaTheme="minorEastAsia"/>
                <w:b w:val="0"/>
                <w:bCs w:val="0"/>
                <w:color w:val="1F497D" w:themeColor="text2"/>
                <w:sz w:val="20"/>
                <w:szCs w:val="20"/>
                <w:highlight w:val="none"/>
                <w:lang w:val="en-US" w:eastAsia="zh-CN"/>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汽车与智能制造学院 汇总</w:t>
            </w:r>
          </w:p>
        </w:tc>
        <w:tc>
          <w:tcPr>
            <w:tcW w:w="1238" w:type="dxa"/>
            <w:shd w:val="clear" w:color="auto" w:fill="92CDDC" w:themeFill="accent5" w:themeFillTint="99"/>
            <w:vAlign w:val="top"/>
          </w:tcPr>
          <w:p>
            <w:pPr>
              <w:jc w:val="right"/>
              <w:rPr>
                <w:rFonts w:hint="default" w:asciiTheme="minorEastAsia" w:hAnsiTheme="minorEastAsia" w:eastAsiaTheme="minorEastAsia"/>
                <w:b/>
                <w:bCs/>
                <w:color w:val="1F497D" w:themeColor="text2"/>
                <w:sz w:val="20"/>
                <w:szCs w:val="20"/>
                <w:highlight w:val="none"/>
                <w:lang w:val="en-US" w:eastAsia="zh-CN"/>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356</w:t>
            </w:r>
          </w:p>
        </w:tc>
        <w:tc>
          <w:tcPr>
            <w:tcW w:w="1212" w:type="dxa"/>
            <w:shd w:val="clear" w:color="auto" w:fill="92CDDC" w:themeFill="accent5" w:themeFillTint="99"/>
            <w:vAlign w:val="center"/>
          </w:tcPr>
          <w:p>
            <w:pPr>
              <w:jc w:val="right"/>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10</w:t>
            </w:r>
          </w:p>
        </w:tc>
        <w:tc>
          <w:tcPr>
            <w:tcW w:w="1063" w:type="dxa"/>
            <w:shd w:val="clear" w:color="auto" w:fill="92CDDC" w:themeFill="accent5" w:themeFillTint="99"/>
            <w:vAlign w:val="center"/>
          </w:tcPr>
          <w:p>
            <w:pPr>
              <w:jc w:val="right"/>
              <w:rPr>
                <w:rFonts w:hint="eastAsia" w:asciiTheme="minorEastAsia" w:hAnsiTheme="minorEastAsia" w:eastAsiaTheme="minorEastAsia"/>
                <w:b/>
                <w:bCs/>
                <w:color w:val="1F497D" w:themeColor="text2"/>
                <w:sz w:val="20"/>
                <w:szCs w:val="20"/>
                <w:highlight w:val="none"/>
                <w:lang w:val="en-US" w:eastAsia="zh-CN"/>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2.81</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38" w:type="dxa"/>
            <w:vMerge w:val="restart"/>
            <w:tcBorders>
              <w:left w:val="single" w:color="FFFFFF" w:themeColor="background1" w:sz="8" w:space="0"/>
              <w:right w:val="single" w:color="FFFFFF" w:themeColor="background1" w:sz="24" w:space="0"/>
              <w:insideH w:val="nil"/>
              <w:insideV w:val="single" w:sz="24" w:space="0"/>
            </w:tcBorders>
            <w:shd w:val="clear" w:color="auto" w:fill="4BACC6" w:themeFill="accent5"/>
            <w:vAlign w:val="center"/>
          </w:tcPr>
          <w:p>
            <w:pPr>
              <w:jc w:val="center"/>
              <w:rPr>
                <w:rFonts w:hint="default" w:cs="Times New Roman" w:asciiTheme="minorEastAsia" w:hAnsiTheme="minorEastAsia" w:eastAsiaTheme="minorEastAsia"/>
                <w:b/>
                <w:bCs/>
                <w:i w:val="0"/>
                <w:iCs w:val="0"/>
                <w:color w:val="FFFFFF" w:themeColor="background1"/>
                <w:kern w:val="2"/>
                <w:sz w:val="20"/>
                <w:szCs w:val="20"/>
                <w:lang w:val="en-US" w:eastAsia="zh-CN" w:bidi="ar-SA"/>
                <w14:textFill>
                  <w14:solidFill>
                    <w14:schemeClr w14:val="bg1"/>
                  </w14:solidFill>
                </w14:textFill>
              </w:rPr>
            </w:pPr>
            <w:r>
              <w:rPr>
                <w:rFonts w:hint="eastAsia" w:cs="Times New Roman" w:asciiTheme="minorEastAsia" w:hAnsiTheme="minorEastAsia" w:eastAsiaTheme="minorEastAsia"/>
                <w:b/>
                <w:bCs/>
                <w:i w:val="0"/>
                <w:iCs w:val="0"/>
                <w:color w:val="FFFFFF" w:themeColor="background1"/>
                <w:kern w:val="2"/>
                <w:sz w:val="20"/>
                <w:szCs w:val="20"/>
                <w:lang w:val="en-US" w:eastAsia="zh-CN" w:bidi="ar-SA"/>
                <w14:textFill>
                  <w14:solidFill>
                    <w14:schemeClr w14:val="bg1"/>
                  </w14:solidFill>
                </w14:textFill>
              </w:rPr>
              <w:t>建筑工程学院</w:t>
            </w:r>
          </w:p>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62" w:type="dxa"/>
            <w:shd w:val="clear" w:color="auto" w:fill="D2EAF0" w:themeFill="accent5" w:themeFillTint="3F"/>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ru-RU"/>
              </w:rPr>
              <w:t>建筑工程技术</w:t>
            </w:r>
          </w:p>
        </w:tc>
        <w:tc>
          <w:tcPr>
            <w:tcW w:w="1238" w:type="dxa"/>
            <w:shd w:val="clear" w:color="auto" w:fill="D2EAF0" w:themeFill="accent5" w:themeFillTint="3F"/>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496</w:t>
            </w:r>
          </w:p>
        </w:tc>
        <w:tc>
          <w:tcPr>
            <w:tcW w:w="1212" w:type="dxa"/>
            <w:shd w:val="clear" w:color="auto" w:fill="D2EAF0" w:themeFill="accent5" w:themeFillTint="3F"/>
            <w:vAlign w:val="center"/>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20</w:t>
            </w:r>
          </w:p>
        </w:tc>
        <w:tc>
          <w:tcPr>
            <w:tcW w:w="1063" w:type="dxa"/>
            <w:shd w:val="clear" w:color="auto" w:fill="D2EAF0" w:themeFill="accent5" w:themeFillTint="3F"/>
            <w:vAlign w:val="center"/>
          </w:tcPr>
          <w:p>
            <w:pPr>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4.03</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38"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center"/>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62" w:type="dxa"/>
            <w:shd w:val="clear" w:color="auto" w:fill="92CDDC" w:themeFill="accent5" w:themeFillTint="99"/>
            <w:vAlign w:val="top"/>
          </w:tcPr>
          <w:p>
            <w:pPr>
              <w:jc w:val="center"/>
              <w:rPr>
                <w:rFonts w:hint="eastAsia" w:cs="Times New Roman" w:asciiTheme="minorEastAsia" w:hAnsiTheme="minorEastAsia" w:eastAsiaTheme="minorEastAsia"/>
                <w:kern w:val="2"/>
                <w:sz w:val="20"/>
                <w:szCs w:val="20"/>
                <w:lang w:val="ru-RU" w:eastAsia="zh-CN" w:bidi="ar-SA"/>
              </w:rPr>
            </w:pPr>
            <w:r>
              <w:rPr>
                <w:rFonts w:hint="eastAsia" w:asciiTheme="minorEastAsia" w:hAnsiTheme="minorEastAsia" w:eastAsiaTheme="minorEastAsia"/>
                <w:sz w:val="20"/>
                <w:szCs w:val="20"/>
                <w:lang w:val="ru-RU"/>
              </w:rPr>
              <w:t>工程造价</w:t>
            </w:r>
          </w:p>
        </w:tc>
        <w:tc>
          <w:tcPr>
            <w:tcW w:w="1238" w:type="dxa"/>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79</w:t>
            </w:r>
          </w:p>
        </w:tc>
        <w:tc>
          <w:tcPr>
            <w:tcW w:w="1212" w:type="dxa"/>
            <w:shd w:val="clear" w:color="auto" w:fill="92CDDC" w:themeFill="accent5" w:themeFillTint="99"/>
            <w:vAlign w:val="center"/>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0</w:t>
            </w:r>
          </w:p>
        </w:tc>
        <w:tc>
          <w:tcPr>
            <w:tcW w:w="1063" w:type="dxa"/>
            <w:shd w:val="clear" w:color="auto" w:fill="92CDDC" w:themeFill="accent5" w:themeFillTint="99"/>
            <w:vAlign w:val="center"/>
          </w:tcPr>
          <w:p>
            <w:pPr>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0.00</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rPr>
          <w:trHeight w:val="292" w:hRule="atLeast"/>
        </w:trPr>
        <w:tc>
          <w:tcPr>
            <w:tcW w:w="2338"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top"/>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6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建筑装饰工程技术</w:t>
            </w:r>
          </w:p>
        </w:tc>
        <w:tc>
          <w:tcPr>
            <w:tcW w:w="1238"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143</w:t>
            </w:r>
          </w:p>
        </w:tc>
        <w:tc>
          <w:tcPr>
            <w:tcW w:w="121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center"/>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1</w:t>
            </w:r>
          </w:p>
        </w:tc>
        <w:tc>
          <w:tcPr>
            <w:tcW w:w="1063"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center"/>
          </w:tcPr>
          <w:p>
            <w:pPr>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0.70</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38"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top"/>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62" w:type="dxa"/>
            <w:shd w:val="clear" w:color="auto" w:fill="92CDDC" w:themeFill="accent5" w:themeFillTint="99"/>
            <w:vAlign w:val="top"/>
          </w:tcPr>
          <w:p>
            <w:pPr>
              <w:jc w:val="right"/>
              <w:rPr>
                <w:rFonts w:hint="default" w:cs="Times New Roman" w:asciiTheme="minorEastAsia" w:hAnsiTheme="minorEastAsia" w:eastAsiaTheme="minorEastAsia"/>
                <w:kern w:val="2"/>
                <w:sz w:val="20"/>
                <w:szCs w:val="20"/>
                <w:highlight w:val="none"/>
                <w:lang w:val="en-US" w:eastAsia="zh-CN" w:bidi="ar-SA"/>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建筑工程学院 汇总</w:t>
            </w:r>
          </w:p>
        </w:tc>
        <w:tc>
          <w:tcPr>
            <w:tcW w:w="1238" w:type="dxa"/>
            <w:shd w:val="clear" w:color="auto" w:fill="92CDDC" w:themeFill="accent5" w:themeFillTint="99"/>
            <w:vAlign w:val="top"/>
          </w:tcPr>
          <w:p>
            <w:pPr>
              <w:jc w:val="right"/>
              <w:rPr>
                <w:rFonts w:hint="default" w:cs="Times New Roman" w:asciiTheme="minorEastAsia" w:hAnsiTheme="minorEastAsia" w:eastAsiaTheme="minorEastAsia"/>
                <w:kern w:val="2"/>
                <w:sz w:val="20"/>
                <w:szCs w:val="20"/>
                <w:highlight w:val="none"/>
                <w:lang w:val="en-US" w:eastAsia="zh-CN" w:bidi="ar-SA"/>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718</w:t>
            </w:r>
          </w:p>
        </w:tc>
        <w:tc>
          <w:tcPr>
            <w:tcW w:w="1212" w:type="dxa"/>
            <w:shd w:val="clear" w:color="auto" w:fill="92CDDC" w:themeFill="accent5" w:themeFillTint="99"/>
            <w:vAlign w:val="center"/>
          </w:tcPr>
          <w:p>
            <w:pPr>
              <w:jc w:val="right"/>
              <w:rPr>
                <w:rFonts w:hint="default" w:cs="Times New Roman" w:asciiTheme="minorEastAsia" w:hAnsiTheme="minorEastAsia" w:eastAsiaTheme="minorEastAsia"/>
                <w:kern w:val="2"/>
                <w:sz w:val="20"/>
                <w:szCs w:val="20"/>
                <w:highlight w:val="none"/>
                <w:lang w:val="en-US" w:eastAsia="zh-CN" w:bidi="ar-SA"/>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21</w:t>
            </w:r>
          </w:p>
        </w:tc>
        <w:tc>
          <w:tcPr>
            <w:tcW w:w="1063" w:type="dxa"/>
            <w:shd w:val="clear" w:color="auto" w:fill="92CDDC" w:themeFill="accent5" w:themeFillTint="99"/>
            <w:vAlign w:val="center"/>
          </w:tcPr>
          <w:p>
            <w:pPr>
              <w:jc w:val="right"/>
              <w:rPr>
                <w:rFonts w:hint="eastAsia" w:asciiTheme="minorEastAsia" w:hAnsiTheme="minorEastAsia" w:eastAsiaTheme="minorEastAsia"/>
                <w:b/>
                <w:bCs/>
                <w:color w:val="1F497D" w:themeColor="text2"/>
                <w:sz w:val="20"/>
                <w:szCs w:val="20"/>
                <w:highlight w:val="none"/>
                <w:lang w:val="en-US" w:eastAsia="zh-CN"/>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2.92</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38" w:type="dxa"/>
            <w:vMerge w:val="restart"/>
            <w:tcBorders>
              <w:left w:val="single" w:color="FFFFFF" w:themeColor="background1" w:sz="8" w:space="0"/>
              <w:right w:val="single" w:color="FFFFFF" w:themeColor="background1" w:sz="24" w:space="0"/>
              <w:insideH w:val="nil"/>
              <w:insideV w:val="single" w:sz="24" w:space="0"/>
            </w:tcBorders>
            <w:shd w:val="clear" w:color="auto" w:fill="4BACC6" w:themeFill="accent5"/>
            <w:vAlign w:val="center"/>
          </w:tcPr>
          <w:p>
            <w:pPr>
              <w:jc w:val="center"/>
              <w:rPr>
                <w:rFonts w:hint="default" w:cs="Times New Roman" w:asciiTheme="minorEastAsia" w:hAnsiTheme="minorEastAsia" w:eastAsiaTheme="minorEastAsia"/>
                <w:b/>
                <w:bCs/>
                <w:i w:val="0"/>
                <w:iCs w:val="0"/>
                <w:color w:val="FFFFFF" w:themeColor="background1"/>
                <w:kern w:val="2"/>
                <w:sz w:val="20"/>
                <w:szCs w:val="20"/>
                <w:lang w:val="en-US" w:eastAsia="zh-CN" w:bidi="ar-SA"/>
                <w14:textFill>
                  <w14:solidFill>
                    <w14:schemeClr w14:val="bg1"/>
                  </w14:solidFill>
                </w14:textFill>
              </w:rPr>
            </w:pPr>
            <w:r>
              <w:rPr>
                <w:rFonts w:hint="eastAsia" w:cs="Times New Roman" w:asciiTheme="minorEastAsia" w:hAnsiTheme="minorEastAsia" w:eastAsiaTheme="minorEastAsia"/>
                <w:b/>
                <w:bCs/>
                <w:i w:val="0"/>
                <w:iCs w:val="0"/>
                <w:color w:val="FFFFFF" w:themeColor="background1"/>
                <w:kern w:val="2"/>
                <w:sz w:val="20"/>
                <w:szCs w:val="20"/>
                <w:lang w:val="en-US" w:eastAsia="zh-CN" w:bidi="ar-SA"/>
                <w14:textFill>
                  <w14:solidFill>
                    <w14:schemeClr w14:val="bg1"/>
                  </w14:solidFill>
                </w14:textFill>
              </w:rPr>
              <w:t>信息技术学院</w:t>
            </w:r>
          </w:p>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62" w:type="dxa"/>
            <w:shd w:val="clear" w:color="auto" w:fill="D2EAF0" w:themeFill="accent5" w:themeFillTint="3F"/>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ru-RU" w:eastAsia="zh-CN"/>
              </w:rPr>
              <w:t>计算机应用技术</w:t>
            </w:r>
          </w:p>
        </w:tc>
        <w:tc>
          <w:tcPr>
            <w:tcW w:w="1238" w:type="dxa"/>
            <w:shd w:val="clear" w:color="auto" w:fill="D2EAF0" w:themeFill="accent5" w:themeFillTint="3F"/>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477</w:t>
            </w:r>
          </w:p>
        </w:tc>
        <w:tc>
          <w:tcPr>
            <w:tcW w:w="1212" w:type="dxa"/>
            <w:shd w:val="clear" w:color="auto" w:fill="D2EAF0" w:themeFill="accent5" w:themeFillTint="3F"/>
            <w:vAlign w:val="center"/>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9</w:t>
            </w:r>
          </w:p>
        </w:tc>
        <w:tc>
          <w:tcPr>
            <w:tcW w:w="1063" w:type="dxa"/>
            <w:shd w:val="clear" w:color="auto" w:fill="D2EAF0" w:themeFill="accent5" w:themeFillTint="3F"/>
            <w:vAlign w:val="center"/>
          </w:tcPr>
          <w:p>
            <w:pPr>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1.89</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38"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center"/>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62" w:type="dxa"/>
            <w:shd w:val="clear" w:color="auto" w:fill="92CDDC" w:themeFill="accent5" w:themeFillTint="99"/>
            <w:vAlign w:val="top"/>
          </w:tcPr>
          <w:p>
            <w:pPr>
              <w:jc w:val="center"/>
              <w:rPr>
                <w:rFonts w:hint="eastAsia" w:cs="Times New Roman" w:asciiTheme="minorEastAsia" w:hAnsiTheme="minorEastAsia" w:eastAsiaTheme="minorEastAsia"/>
                <w:kern w:val="2"/>
                <w:sz w:val="20"/>
                <w:szCs w:val="20"/>
                <w:lang w:val="ru-RU" w:eastAsia="zh-CN" w:bidi="ar-SA"/>
              </w:rPr>
            </w:pPr>
            <w:r>
              <w:rPr>
                <w:rFonts w:hint="eastAsia" w:asciiTheme="minorEastAsia" w:hAnsiTheme="minorEastAsia" w:eastAsiaTheme="minorEastAsia"/>
                <w:sz w:val="20"/>
                <w:szCs w:val="20"/>
                <w:lang w:val="en-US" w:eastAsia="zh-CN"/>
              </w:rPr>
              <w:t>计算机网络技术</w:t>
            </w:r>
          </w:p>
        </w:tc>
        <w:tc>
          <w:tcPr>
            <w:tcW w:w="1238" w:type="dxa"/>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79</w:t>
            </w:r>
          </w:p>
        </w:tc>
        <w:tc>
          <w:tcPr>
            <w:tcW w:w="1212" w:type="dxa"/>
            <w:shd w:val="clear" w:color="auto" w:fill="92CDDC" w:themeFill="accent5" w:themeFillTint="99"/>
            <w:vAlign w:val="center"/>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2</w:t>
            </w:r>
          </w:p>
        </w:tc>
        <w:tc>
          <w:tcPr>
            <w:tcW w:w="1063" w:type="dxa"/>
            <w:shd w:val="clear" w:color="auto" w:fill="92CDDC" w:themeFill="accent5" w:themeFillTint="99"/>
            <w:vAlign w:val="center"/>
          </w:tcPr>
          <w:p>
            <w:pPr>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2.53</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38"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top"/>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6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ru-RU" w:eastAsia="zh-CN"/>
              </w:rPr>
              <w:t>移动互联</w:t>
            </w:r>
            <w:r>
              <w:rPr>
                <w:rFonts w:hint="eastAsia" w:asciiTheme="minorEastAsia" w:hAnsiTheme="minorEastAsia" w:eastAsiaTheme="minorEastAsia"/>
                <w:sz w:val="20"/>
                <w:szCs w:val="20"/>
                <w:lang w:val="en-US" w:eastAsia="zh-CN"/>
              </w:rPr>
              <w:t>应用</w:t>
            </w:r>
            <w:r>
              <w:rPr>
                <w:rFonts w:hint="eastAsia" w:asciiTheme="minorEastAsia" w:hAnsiTheme="minorEastAsia" w:eastAsiaTheme="minorEastAsia"/>
                <w:sz w:val="20"/>
                <w:szCs w:val="20"/>
                <w:lang w:val="ru-RU" w:eastAsia="zh-CN"/>
              </w:rPr>
              <w:t>技术</w:t>
            </w:r>
          </w:p>
        </w:tc>
        <w:tc>
          <w:tcPr>
            <w:tcW w:w="1238"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40</w:t>
            </w:r>
          </w:p>
        </w:tc>
        <w:tc>
          <w:tcPr>
            <w:tcW w:w="121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center"/>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0</w:t>
            </w:r>
          </w:p>
        </w:tc>
        <w:tc>
          <w:tcPr>
            <w:tcW w:w="1063"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center"/>
          </w:tcPr>
          <w:p>
            <w:pPr>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0.00</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38"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top"/>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62" w:type="dxa"/>
            <w:shd w:val="clear" w:color="auto" w:fill="92CDDC" w:themeFill="accent5" w:themeFillTint="99"/>
            <w:vAlign w:val="top"/>
          </w:tcPr>
          <w:p>
            <w:pPr>
              <w:jc w:val="right"/>
              <w:rPr>
                <w:rFonts w:hint="default" w:cs="Times New Roman" w:asciiTheme="minorEastAsia" w:hAnsiTheme="minorEastAsia" w:eastAsiaTheme="minorEastAsia"/>
                <w:kern w:val="2"/>
                <w:sz w:val="20"/>
                <w:szCs w:val="20"/>
                <w:highlight w:val="none"/>
                <w:lang w:val="en-US" w:eastAsia="zh-CN" w:bidi="ar-SA"/>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信息技术学院 汇总</w:t>
            </w:r>
          </w:p>
        </w:tc>
        <w:tc>
          <w:tcPr>
            <w:tcW w:w="1238" w:type="dxa"/>
            <w:shd w:val="clear" w:color="auto" w:fill="92CDDC" w:themeFill="accent5" w:themeFillTint="99"/>
            <w:vAlign w:val="top"/>
          </w:tcPr>
          <w:p>
            <w:pPr>
              <w:jc w:val="right"/>
              <w:rPr>
                <w:rFonts w:hint="default" w:cs="Times New Roman" w:asciiTheme="minorEastAsia" w:hAnsiTheme="minorEastAsia" w:eastAsiaTheme="minorEastAsia"/>
                <w:kern w:val="2"/>
                <w:sz w:val="20"/>
                <w:szCs w:val="20"/>
                <w:highlight w:val="none"/>
                <w:lang w:val="en-US" w:eastAsia="zh-CN" w:bidi="ar-SA"/>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596</w:t>
            </w:r>
          </w:p>
        </w:tc>
        <w:tc>
          <w:tcPr>
            <w:tcW w:w="1212" w:type="dxa"/>
            <w:shd w:val="clear" w:color="auto" w:fill="92CDDC" w:themeFill="accent5" w:themeFillTint="99"/>
            <w:vAlign w:val="center"/>
          </w:tcPr>
          <w:p>
            <w:pPr>
              <w:jc w:val="right"/>
              <w:rPr>
                <w:rFonts w:hint="default" w:cs="Times New Roman" w:asciiTheme="minorEastAsia" w:hAnsiTheme="minorEastAsia" w:eastAsiaTheme="minorEastAsia"/>
                <w:kern w:val="2"/>
                <w:sz w:val="20"/>
                <w:szCs w:val="20"/>
                <w:highlight w:val="none"/>
                <w:lang w:val="en-US" w:eastAsia="zh-CN" w:bidi="ar-SA"/>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11</w:t>
            </w:r>
          </w:p>
        </w:tc>
        <w:tc>
          <w:tcPr>
            <w:tcW w:w="1063" w:type="dxa"/>
            <w:shd w:val="clear" w:color="auto" w:fill="92CDDC" w:themeFill="accent5" w:themeFillTint="99"/>
            <w:vAlign w:val="center"/>
          </w:tcPr>
          <w:p>
            <w:pPr>
              <w:jc w:val="right"/>
              <w:rPr>
                <w:rFonts w:hint="eastAsia" w:asciiTheme="minorEastAsia" w:hAnsiTheme="minorEastAsia" w:eastAsiaTheme="minorEastAsia"/>
                <w:b/>
                <w:bCs/>
                <w:color w:val="1F497D" w:themeColor="text2"/>
                <w:sz w:val="20"/>
                <w:szCs w:val="20"/>
                <w:highlight w:val="none"/>
                <w:lang w:val="en-US" w:eastAsia="zh-CN"/>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1.85</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338" w:type="dxa"/>
            <w:tcBorders>
              <w:top w:val="single" w:color="FFFFFF" w:themeColor="background1" w:sz="8" w:space="0"/>
              <w:left w:val="single" w:color="FFFFFF" w:themeColor="background1" w:sz="8" w:space="0"/>
              <w:bottom w:val="single" w:color="FFFFFF" w:themeColor="background1" w:sz="8" w:space="0"/>
              <w:right w:val="single" w:color="FFFFFF" w:themeColor="background1" w:sz="24" w:space="0"/>
              <w:insideH w:val="single" w:sz="8" w:space="0"/>
              <w:insideV w:val="single" w:sz="24" w:space="0"/>
            </w:tcBorders>
            <w:shd w:val="clear" w:color="auto" w:fill="4BACC6" w:themeFill="accent5"/>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t>总计</w:t>
            </w:r>
          </w:p>
        </w:tc>
        <w:tc>
          <w:tcPr>
            <w:tcW w:w="266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cPr>
          <w:p>
            <w:pPr>
              <w:jc w:val="center"/>
              <w:rPr>
                <w:rFonts w:asciiTheme="minorEastAsia" w:hAnsiTheme="minorEastAsia" w:eastAsiaTheme="minorEastAsia"/>
                <w:sz w:val="20"/>
                <w:szCs w:val="20"/>
                <w:lang w:val="ru-RU"/>
              </w:rPr>
            </w:pPr>
          </w:p>
        </w:tc>
        <w:tc>
          <w:tcPr>
            <w:tcW w:w="1238"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vAlign w:val="top"/>
          </w:tcPr>
          <w:p>
            <w:pPr>
              <w:jc w:val="center"/>
              <w:rPr>
                <w:rFonts w:hint="default" w:asciiTheme="minorEastAsia" w:hAnsiTheme="minorEastAsia" w:eastAsiaTheme="minorEastAsia"/>
                <w:b/>
                <w:bCs/>
                <w:sz w:val="20"/>
                <w:szCs w:val="20"/>
                <w:lang w:val="en-US" w:eastAsia="zh-CN"/>
              </w:rPr>
            </w:pPr>
            <w:r>
              <w:rPr>
                <w:rFonts w:hint="eastAsia" w:asciiTheme="minorEastAsia" w:hAnsiTheme="minorEastAsia" w:eastAsiaTheme="minorEastAsia"/>
                <w:b/>
                <w:bCs/>
                <w:sz w:val="20"/>
                <w:szCs w:val="20"/>
                <w:lang w:val="en-US" w:eastAsia="zh-CN"/>
              </w:rPr>
              <w:t>4022</w:t>
            </w:r>
          </w:p>
        </w:tc>
        <w:tc>
          <w:tcPr>
            <w:tcW w:w="1212"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vAlign w:val="top"/>
          </w:tcPr>
          <w:p>
            <w:pPr>
              <w:jc w:val="center"/>
              <w:rPr>
                <w:rFonts w:hint="default" w:asciiTheme="minorEastAsia" w:hAnsiTheme="minorEastAsia" w:eastAsiaTheme="minorEastAsia"/>
                <w:b/>
                <w:bCs/>
                <w:sz w:val="20"/>
                <w:szCs w:val="20"/>
                <w:lang w:val="en-US" w:eastAsia="zh-CN"/>
              </w:rPr>
            </w:pPr>
            <w:r>
              <w:rPr>
                <w:rFonts w:hint="eastAsia" w:asciiTheme="minorEastAsia" w:hAnsiTheme="minorEastAsia" w:eastAsiaTheme="minorEastAsia"/>
                <w:b/>
                <w:bCs/>
                <w:sz w:val="20"/>
                <w:szCs w:val="20"/>
                <w:lang w:val="en-US" w:eastAsia="zh-CN"/>
              </w:rPr>
              <w:t>68</w:t>
            </w:r>
          </w:p>
        </w:tc>
        <w:tc>
          <w:tcPr>
            <w:tcW w:w="1063"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b/>
                <w:bCs/>
                <w:sz w:val="20"/>
                <w:szCs w:val="20"/>
                <w:lang w:val="en-US" w:eastAsia="zh-CN"/>
              </w:rPr>
              <w:t>1.69</w:t>
            </w:r>
          </w:p>
        </w:tc>
      </w:tr>
    </w:tbl>
    <w:p>
      <w:pPr>
        <w:rPr>
          <w:rFonts w:hint="eastAsia"/>
          <w:lang w:val="en-US" w:eastAsia="zh-CN"/>
        </w:rPr>
      </w:pPr>
    </w:p>
    <w:p>
      <w:pPr>
        <w:numPr>
          <w:ilvl w:val="0"/>
          <w:numId w:val="0"/>
        </w:numPr>
        <w:ind w:leftChars="0"/>
        <w:jc w:val="left"/>
        <w:rPr>
          <w:rFonts w:hint="eastAsia"/>
          <w:sz w:val="28"/>
          <w:szCs w:val="28"/>
          <w:highlight w:val="none"/>
          <w:lang w:val="en-US" w:eastAsia="zh-CN"/>
        </w:rPr>
      </w:pPr>
      <w:r>
        <w:rPr>
          <w:rFonts w:hint="eastAsia"/>
          <w:sz w:val="28"/>
          <w:szCs w:val="28"/>
          <w:highlight w:val="none"/>
          <w:lang w:val="en-US" w:eastAsia="zh-CN"/>
        </w:rPr>
        <w:t>二、自主创业</w:t>
      </w:r>
      <w:r>
        <w:rPr>
          <w:rFonts w:hint="eastAsia"/>
          <w:sz w:val="28"/>
          <w:szCs w:val="28"/>
          <w:lang w:val="en-US" w:eastAsia="zh-CN"/>
        </w:rPr>
        <w:t>评价与反馈</w:t>
      </w:r>
    </w:p>
    <w:p>
      <w:pPr>
        <w:numPr>
          <w:ilvl w:val="0"/>
          <w:numId w:val="0"/>
        </w:numPr>
        <w:ind w:leftChars="0"/>
        <w:jc w:val="left"/>
        <w:rPr>
          <w:rFonts w:hint="eastAsia"/>
          <w:sz w:val="28"/>
          <w:szCs w:val="28"/>
          <w:highlight w:val="none"/>
          <w:lang w:val="en-US" w:eastAsia="zh-CN"/>
        </w:rPr>
      </w:pPr>
      <w:r>
        <w:rPr>
          <w:rFonts w:hint="eastAsia"/>
          <w:sz w:val="28"/>
          <w:szCs w:val="28"/>
          <w:highlight w:val="none"/>
          <w:lang w:val="en-US" w:eastAsia="zh-CN"/>
        </w:rPr>
        <w:t>（一）毕业生创业行业分布</w:t>
      </w:r>
    </w:p>
    <w:p>
      <w:pPr>
        <w:numPr>
          <w:ilvl w:val="0"/>
          <w:numId w:val="0"/>
        </w:numPr>
        <w:ind w:leftChars="0" w:firstLine="560"/>
        <w:jc w:val="left"/>
        <w:rPr>
          <w:rFonts w:hint="default"/>
          <w:sz w:val="28"/>
          <w:szCs w:val="28"/>
          <w:lang w:val="en-US" w:eastAsia="zh-CN"/>
        </w:rPr>
      </w:pPr>
      <w:r>
        <w:rPr>
          <w:rFonts w:hint="eastAsia"/>
          <w:sz w:val="28"/>
          <w:szCs w:val="28"/>
          <w:lang w:val="en-US" w:eastAsia="zh-CN"/>
        </w:rPr>
        <w:t>毕业生创业行业主要分布在“批发和零售业”，人数16人，占比23.53%；其次是“住宿和餐饮业”，人数11人，占比16.18%；“信息传输、软件和信息技术服务业”，人数9人，占比13.24%。</w:t>
      </w:r>
    </w:p>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ru-RU"/>
        </w:rPr>
        <w:t>表</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highlight w:val="none"/>
          <w:lang w:val="en-US" w:eastAsia="zh-CN"/>
        </w:rPr>
        <w:t>5</w:t>
      </w:r>
      <w:r>
        <w:rPr>
          <w:rFonts w:asciiTheme="minorEastAsia" w:hAnsiTheme="minorEastAsia" w:eastAsiaTheme="minorEastAsia"/>
          <w:sz w:val="20"/>
          <w:szCs w:val="20"/>
          <w:highlight w:val="none"/>
          <w:lang w:val="ru-RU"/>
        </w:rPr>
        <w:t>-</w:t>
      </w:r>
      <w:r>
        <w:rPr>
          <w:rFonts w:hint="eastAsia" w:asciiTheme="minorEastAsia" w:hAnsiTheme="minorEastAsia" w:eastAsiaTheme="minorEastAsia"/>
          <w:sz w:val="20"/>
          <w:szCs w:val="20"/>
          <w:highlight w:val="none"/>
          <w:lang w:val="en-US" w:eastAsia="zh-CN"/>
        </w:rPr>
        <w:t>2</w:t>
      </w:r>
      <w:r>
        <w:rPr>
          <w:rFonts w:hint="eastAsia" w:asciiTheme="minorEastAsia" w:hAnsiTheme="minorEastAsia" w:eastAsiaTheme="minorEastAsia"/>
          <w:sz w:val="20"/>
          <w:szCs w:val="20"/>
          <w:lang w:val="en-US" w:eastAsia="zh-CN"/>
        </w:rPr>
        <w:t xml:space="preserve"> </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2023届毕业生创业行业情况</w:t>
      </w:r>
    </w:p>
    <w:p>
      <w:pPr>
        <w:jc w:val="right"/>
        <w:rPr>
          <w:rFonts w:hint="eastAsia" w:asciiTheme="minorEastAsia" w:hAnsiTheme="minorEastAsia" w:eastAsiaTheme="minorEastAsia"/>
          <w:sz w:val="20"/>
          <w:szCs w:val="20"/>
          <w:lang w:val="ru-RU" w:eastAsia="zh-CN"/>
        </w:rPr>
      </w:pPr>
      <w:r>
        <w:rPr>
          <w:rFonts w:hint="eastAsia" w:asciiTheme="minorEastAsia" w:hAnsiTheme="minorEastAsia" w:eastAsiaTheme="minorEastAsia"/>
          <w:sz w:val="20"/>
          <w:szCs w:val="20"/>
          <w:lang w:val="ru-RU"/>
        </w:rPr>
        <w:t>单位：人数（人）、比例（%）</w:t>
      </w:r>
      <w:r>
        <w:rPr>
          <w:rFonts w:hint="eastAsia" w:asciiTheme="minorEastAsia" w:hAnsiTheme="minorEastAsia" w:eastAsiaTheme="minorEastAsia"/>
          <w:sz w:val="20"/>
          <w:szCs w:val="20"/>
          <w:lang w:val="ru-RU" w:eastAsia="zh-CN"/>
        </w:rPr>
        <w:t>、</w:t>
      </w:r>
    </w:p>
    <w:tbl>
      <w:tblPr>
        <w:tblStyle w:val="14"/>
        <w:tblW w:w="0" w:type="auto"/>
        <w:tblInd w:w="292"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Layout w:type="fixed"/>
        <w:tblCellMar>
          <w:top w:w="0" w:type="dxa"/>
          <w:left w:w="108" w:type="dxa"/>
          <w:bottom w:w="0" w:type="dxa"/>
          <w:right w:w="108" w:type="dxa"/>
        </w:tblCellMar>
      </w:tblPr>
      <w:tblGrid>
        <w:gridCol w:w="3549"/>
        <w:gridCol w:w="1926"/>
        <w:gridCol w:w="2550"/>
      </w:tblGrid>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3549" w:type="dxa"/>
            <w:tcBorders>
              <w:top w:val="single" w:color="4BACC6" w:themeColor="accent5" w:sz="8" w:space="0"/>
              <w:left w:val="single" w:color="4BACC6" w:themeColor="accent5" w:sz="8" w:space="0"/>
              <w:bottom w:val="single" w:color="4BACC6" w:themeColor="accent5" w:sz="18" w:space="0"/>
              <w:right w:val="single" w:color="4BACC6" w:themeColor="accent5" w:sz="8" w:space="0"/>
              <w:insideH w:val="single" w:sz="18" w:space="0"/>
              <w:insideV w:val="single" w:sz="8" w:space="0"/>
            </w:tcBorders>
            <w:shd w:val="clear" w:color="auto" w:fill="4BACC6"/>
            <w:vAlign w:val="top"/>
          </w:tcPr>
          <w:p>
            <w:pPr>
              <w:spacing w:before="0" w:after="0" w:line="240" w:lineRule="auto"/>
              <w:jc w:val="center"/>
              <w:rPr>
                <w:rFonts w:hint="default" w:asciiTheme="minorEastAsia" w:hAnsiTheme="minorEastAsia" w:eastAsiaTheme="minorEastAsia" w:cstheme="majorBidi"/>
                <w:b w:val="0"/>
                <w:bCs/>
                <w:kern w:val="2"/>
                <w:sz w:val="20"/>
                <w:szCs w:val="20"/>
                <w:lang w:val="en-US" w:eastAsia="zh-CN" w:bidi="ar-SA"/>
              </w:rPr>
            </w:pPr>
            <w:r>
              <w:rPr>
                <w:rFonts w:hint="eastAsia" w:asciiTheme="minorEastAsia" w:hAnsiTheme="minorEastAsia" w:eastAsiaTheme="minorEastAsia" w:cstheme="majorBidi"/>
                <w:b w:val="0"/>
                <w:bCs/>
                <w:sz w:val="20"/>
                <w:szCs w:val="20"/>
                <w:lang w:val="en-US" w:eastAsia="zh-CN"/>
              </w:rPr>
              <w:t>单位行业</w:t>
            </w:r>
          </w:p>
        </w:tc>
        <w:tc>
          <w:tcPr>
            <w:tcW w:w="1926" w:type="dxa"/>
            <w:tcBorders>
              <w:top w:val="single" w:color="4BACC6" w:themeColor="accent5" w:sz="8" w:space="0"/>
              <w:bottom w:val="single" w:color="4BACC6" w:themeColor="accent5" w:sz="18" w:space="0"/>
              <w:right w:val="single" w:color="4BACC6" w:themeColor="accent5" w:sz="8" w:space="0"/>
              <w:insideH w:val="single" w:sz="18" w:space="0"/>
              <w:insideV w:val="single" w:sz="8" w:space="0"/>
            </w:tcBorders>
            <w:shd w:val="clear" w:color="auto" w:fill="4BACC6"/>
            <w:vAlign w:val="top"/>
          </w:tcPr>
          <w:p>
            <w:pPr>
              <w:spacing w:before="0" w:after="0" w:line="240" w:lineRule="auto"/>
              <w:jc w:val="center"/>
              <w:rPr>
                <w:rFonts w:hint="default" w:asciiTheme="minorEastAsia" w:hAnsiTheme="minorEastAsia" w:eastAsiaTheme="minorEastAsia" w:cstheme="majorBidi"/>
                <w:b w:val="0"/>
                <w:bCs/>
                <w:kern w:val="2"/>
                <w:sz w:val="20"/>
                <w:szCs w:val="20"/>
                <w:lang w:val="ru-RU" w:eastAsia="zh-CN" w:bidi="ar-SA"/>
              </w:rPr>
            </w:pPr>
            <w:r>
              <w:rPr>
                <w:rFonts w:hint="eastAsia" w:asciiTheme="minorEastAsia" w:hAnsiTheme="minorEastAsia" w:eastAsiaTheme="minorEastAsia" w:cstheme="majorBidi"/>
                <w:b w:val="0"/>
                <w:bCs/>
                <w:sz w:val="20"/>
                <w:szCs w:val="20"/>
                <w:lang w:val="en-US" w:eastAsia="zh-CN"/>
              </w:rPr>
              <w:t>创业人数</w:t>
            </w:r>
          </w:p>
        </w:tc>
        <w:tc>
          <w:tcPr>
            <w:tcW w:w="2550" w:type="dxa"/>
            <w:tcBorders>
              <w:top w:val="single" w:color="4BACC6" w:themeColor="accent5" w:sz="8" w:space="0"/>
              <w:bottom w:val="single" w:color="4BACC6" w:themeColor="accent5" w:sz="18" w:space="0"/>
              <w:right w:val="single" w:color="4BACC6" w:themeColor="accent5" w:sz="8" w:space="0"/>
              <w:insideH w:val="single" w:sz="18" w:space="0"/>
              <w:insideV w:val="single" w:sz="8" w:space="0"/>
            </w:tcBorders>
            <w:shd w:val="clear" w:color="auto" w:fill="4BACC6"/>
            <w:vAlign w:val="top"/>
          </w:tcPr>
          <w:p>
            <w:pPr>
              <w:spacing w:before="0" w:after="0" w:line="240" w:lineRule="auto"/>
              <w:jc w:val="center"/>
              <w:rPr>
                <w:rFonts w:hint="default" w:asciiTheme="minorEastAsia" w:hAnsiTheme="minorEastAsia" w:eastAsiaTheme="minorEastAsia" w:cstheme="majorBidi"/>
                <w:b w:val="0"/>
                <w:bCs/>
                <w:kern w:val="2"/>
                <w:sz w:val="20"/>
                <w:szCs w:val="20"/>
                <w:lang w:val="en-US" w:eastAsia="zh-CN" w:bidi="ar-SA"/>
              </w:rPr>
            </w:pPr>
            <w:r>
              <w:rPr>
                <w:rFonts w:hint="eastAsia" w:asciiTheme="minorEastAsia" w:hAnsiTheme="minorEastAsia" w:eastAsiaTheme="minorEastAsia" w:cstheme="majorBidi"/>
                <w:b w:val="0"/>
                <w:bCs/>
                <w:sz w:val="20"/>
                <w:szCs w:val="20"/>
                <w:lang w:val="en-US" w:eastAsia="zh-CN"/>
              </w:rPr>
              <w:t>比例</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3549"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default" w:asciiTheme="minorEastAsia" w:hAnsiTheme="minorEastAsia" w:eastAsiaTheme="minorEastAsia" w:cstheme="majorBidi"/>
                <w:b w:val="0"/>
                <w:bCs/>
                <w:kern w:val="2"/>
                <w:sz w:val="20"/>
                <w:szCs w:val="20"/>
                <w:lang w:val="en-US" w:eastAsia="zh-CN" w:bidi="ar-SA"/>
              </w:rPr>
            </w:pPr>
            <w:r>
              <w:rPr>
                <w:rFonts w:hint="eastAsia" w:asciiTheme="minorEastAsia" w:hAnsiTheme="minorEastAsia" w:eastAsiaTheme="minorEastAsia" w:cstheme="majorBidi"/>
                <w:b w:val="0"/>
                <w:bCs/>
                <w:kern w:val="2"/>
                <w:sz w:val="20"/>
                <w:szCs w:val="20"/>
                <w:lang w:val="en-US" w:eastAsia="zh-CN" w:bidi="ar-SA"/>
              </w:rPr>
              <w:t>批发和零售业</w:t>
            </w:r>
          </w:p>
        </w:tc>
        <w:tc>
          <w:tcPr>
            <w:tcW w:w="1926"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default" w:asciiTheme="minorEastAsia" w:hAnsiTheme="minorEastAsia" w:eastAsiaTheme="minorEastAsia" w:cstheme="majorBidi"/>
                <w:b w:val="0"/>
                <w:bCs/>
                <w:kern w:val="2"/>
                <w:sz w:val="20"/>
                <w:szCs w:val="20"/>
                <w:lang w:val="ru-RU" w:eastAsia="zh-CN" w:bidi="ar-SA"/>
              </w:rPr>
            </w:pPr>
            <w:r>
              <w:rPr>
                <w:rFonts w:hint="eastAsia" w:asciiTheme="minorEastAsia" w:hAnsiTheme="minorEastAsia" w:eastAsiaTheme="minorEastAsia" w:cstheme="majorBidi"/>
                <w:b w:val="0"/>
                <w:bCs/>
                <w:kern w:val="2"/>
                <w:sz w:val="20"/>
                <w:szCs w:val="20"/>
                <w:lang w:val="en-US" w:eastAsia="zh-CN" w:bidi="ar-SA"/>
              </w:rPr>
              <w:t>16</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default" w:asciiTheme="minorEastAsia" w:hAnsiTheme="minorEastAsia" w:eastAsiaTheme="minorEastAsia" w:cstheme="majorBidi"/>
                <w:b w:val="0"/>
                <w:bCs/>
                <w:kern w:val="2"/>
                <w:sz w:val="20"/>
                <w:szCs w:val="20"/>
                <w:lang w:val="en-US" w:eastAsia="zh-CN" w:bidi="ar-SA"/>
              </w:rPr>
            </w:pPr>
            <w:r>
              <w:rPr>
                <w:rFonts w:hint="eastAsia" w:asciiTheme="minorEastAsia" w:hAnsiTheme="minorEastAsia" w:eastAsiaTheme="minorEastAsia" w:cstheme="majorBidi"/>
                <w:b w:val="0"/>
                <w:bCs/>
                <w:kern w:val="2"/>
                <w:sz w:val="20"/>
                <w:szCs w:val="20"/>
                <w:lang w:val="en-US" w:eastAsia="zh-CN" w:bidi="ar-SA"/>
              </w:rPr>
              <w:t>23.53</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3549"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vAlign w:val="center"/>
          </w:tcPr>
          <w:p>
            <w:pPr>
              <w:keepNext w:val="0"/>
              <w:keepLines w:val="0"/>
              <w:widowControl/>
              <w:suppressLineNumbers w:val="0"/>
              <w:jc w:val="center"/>
              <w:textAlignment w:val="top"/>
              <w:rPr>
                <w:rFonts w:hint="default" w:asciiTheme="minorEastAsia" w:hAnsiTheme="minorEastAsia" w:eastAsiaTheme="minorEastAsia" w:cstheme="majorBidi"/>
                <w:b w:val="0"/>
                <w:bCs/>
                <w:kern w:val="2"/>
                <w:sz w:val="20"/>
                <w:szCs w:val="20"/>
                <w:lang w:val="en-US" w:eastAsia="zh-CN" w:bidi="ar-SA"/>
              </w:rPr>
            </w:pPr>
            <w:r>
              <w:rPr>
                <w:rFonts w:hint="eastAsia" w:asciiTheme="minorEastAsia" w:hAnsiTheme="minorEastAsia" w:eastAsiaTheme="minorEastAsia" w:cstheme="majorBidi"/>
                <w:b w:val="0"/>
                <w:bCs/>
                <w:kern w:val="2"/>
                <w:sz w:val="20"/>
                <w:szCs w:val="20"/>
                <w:lang w:val="en-US" w:eastAsia="zh-CN" w:bidi="ar-SA"/>
              </w:rPr>
              <w:t>住宿和餐饮业</w:t>
            </w:r>
          </w:p>
        </w:tc>
        <w:tc>
          <w:tcPr>
            <w:tcW w:w="1926"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center"/>
          </w:tcPr>
          <w:p>
            <w:pPr>
              <w:keepNext w:val="0"/>
              <w:keepLines w:val="0"/>
              <w:widowControl/>
              <w:suppressLineNumbers w:val="0"/>
              <w:jc w:val="center"/>
              <w:textAlignment w:val="top"/>
              <w:rPr>
                <w:rFonts w:hint="default" w:asciiTheme="minorEastAsia" w:hAnsiTheme="minorEastAsia" w:eastAsiaTheme="minorEastAsia" w:cstheme="majorBidi"/>
                <w:b w:val="0"/>
                <w:bCs/>
                <w:kern w:val="2"/>
                <w:sz w:val="20"/>
                <w:szCs w:val="20"/>
                <w:lang w:val="ru-RU" w:eastAsia="zh-CN" w:bidi="ar-SA"/>
              </w:rPr>
            </w:pPr>
            <w:r>
              <w:rPr>
                <w:rFonts w:hint="eastAsia" w:asciiTheme="minorEastAsia" w:hAnsiTheme="minorEastAsia" w:eastAsiaTheme="minorEastAsia" w:cstheme="majorBidi"/>
                <w:b w:val="0"/>
                <w:bCs/>
                <w:kern w:val="2"/>
                <w:sz w:val="20"/>
                <w:szCs w:val="20"/>
                <w:lang w:val="en-US" w:eastAsia="zh-CN" w:bidi="ar-SA"/>
              </w:rPr>
              <w:t>11</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center"/>
          </w:tcPr>
          <w:p>
            <w:pPr>
              <w:keepNext w:val="0"/>
              <w:keepLines w:val="0"/>
              <w:widowControl/>
              <w:suppressLineNumbers w:val="0"/>
              <w:jc w:val="center"/>
              <w:textAlignment w:val="top"/>
              <w:rPr>
                <w:rFonts w:hint="default" w:asciiTheme="minorEastAsia" w:hAnsiTheme="minorEastAsia" w:eastAsiaTheme="minorEastAsia" w:cstheme="majorBidi"/>
                <w:b w:val="0"/>
                <w:bCs/>
                <w:kern w:val="2"/>
                <w:sz w:val="20"/>
                <w:szCs w:val="20"/>
                <w:lang w:val="en-US" w:eastAsia="zh-CN" w:bidi="ar-SA"/>
              </w:rPr>
            </w:pPr>
            <w:r>
              <w:rPr>
                <w:rFonts w:hint="eastAsia" w:asciiTheme="minorEastAsia" w:hAnsiTheme="minorEastAsia" w:eastAsiaTheme="minorEastAsia" w:cstheme="majorBidi"/>
                <w:b w:val="0"/>
                <w:bCs/>
                <w:kern w:val="2"/>
                <w:sz w:val="20"/>
                <w:szCs w:val="20"/>
                <w:lang w:val="en-US" w:eastAsia="zh-CN" w:bidi="ar-SA"/>
              </w:rPr>
              <w:t>16.18</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rPr>
          <w:trHeight w:val="192" w:hRule="atLeast"/>
        </w:trPr>
        <w:tc>
          <w:tcPr>
            <w:tcW w:w="3549"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default" w:asciiTheme="minorEastAsia" w:hAnsiTheme="minorEastAsia" w:eastAsiaTheme="minorEastAsia" w:cstheme="majorBidi"/>
                <w:b w:val="0"/>
                <w:bCs/>
                <w:kern w:val="2"/>
                <w:sz w:val="20"/>
                <w:szCs w:val="20"/>
                <w:lang w:val="ru-RU" w:eastAsia="zh-CN" w:bidi="ar-SA"/>
              </w:rPr>
            </w:pPr>
            <w:r>
              <w:rPr>
                <w:rFonts w:hint="eastAsia" w:asciiTheme="minorEastAsia" w:hAnsiTheme="minorEastAsia" w:eastAsiaTheme="minorEastAsia" w:cstheme="majorBidi"/>
                <w:b w:val="0"/>
                <w:bCs/>
                <w:kern w:val="2"/>
                <w:sz w:val="20"/>
                <w:szCs w:val="20"/>
                <w:lang w:val="en-US" w:eastAsia="zh-CN" w:bidi="ar-SA"/>
              </w:rPr>
              <w:t>信息传输、软件和信息技术服务业</w:t>
            </w:r>
          </w:p>
        </w:tc>
        <w:tc>
          <w:tcPr>
            <w:tcW w:w="1926"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default" w:asciiTheme="minorEastAsia" w:hAnsiTheme="minorEastAsia" w:eastAsiaTheme="minorEastAsia" w:cstheme="majorBidi"/>
                <w:b w:val="0"/>
                <w:bCs/>
                <w:kern w:val="2"/>
                <w:sz w:val="20"/>
                <w:szCs w:val="20"/>
                <w:lang w:val="ru-RU" w:eastAsia="zh-CN" w:bidi="ar-SA"/>
              </w:rPr>
            </w:pPr>
            <w:r>
              <w:rPr>
                <w:rFonts w:hint="eastAsia" w:asciiTheme="minorEastAsia" w:hAnsiTheme="minorEastAsia" w:eastAsiaTheme="minorEastAsia" w:cstheme="majorBidi"/>
                <w:b w:val="0"/>
                <w:bCs/>
                <w:kern w:val="2"/>
                <w:sz w:val="20"/>
                <w:szCs w:val="20"/>
                <w:lang w:val="en-US" w:eastAsia="zh-CN" w:bidi="ar-SA"/>
              </w:rPr>
              <w:t>9</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themeFill="accent5" w:themeFillTint="3F"/>
            <w:vAlign w:val="center"/>
          </w:tcPr>
          <w:p>
            <w:pPr>
              <w:keepNext w:val="0"/>
              <w:keepLines w:val="0"/>
              <w:widowControl/>
              <w:suppressLineNumbers w:val="0"/>
              <w:jc w:val="center"/>
              <w:textAlignment w:val="top"/>
              <w:rPr>
                <w:rFonts w:hint="default" w:asciiTheme="minorEastAsia" w:hAnsiTheme="minorEastAsia" w:eastAsiaTheme="minorEastAsia" w:cstheme="majorBidi"/>
                <w:b w:val="0"/>
                <w:bCs/>
                <w:kern w:val="2"/>
                <w:sz w:val="20"/>
                <w:szCs w:val="20"/>
                <w:lang w:val="en-US" w:eastAsia="zh-CN" w:bidi="ar-SA"/>
              </w:rPr>
            </w:pPr>
            <w:r>
              <w:rPr>
                <w:rFonts w:hint="eastAsia" w:asciiTheme="minorEastAsia" w:hAnsiTheme="minorEastAsia" w:eastAsiaTheme="minorEastAsia" w:cstheme="majorBidi"/>
                <w:b w:val="0"/>
                <w:bCs/>
                <w:kern w:val="2"/>
                <w:sz w:val="20"/>
                <w:szCs w:val="20"/>
                <w:lang w:val="en-US" w:eastAsia="zh-CN" w:bidi="ar-SA"/>
              </w:rPr>
              <w:t>13.24</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3549"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vAlign w:val="center"/>
          </w:tcPr>
          <w:p>
            <w:pPr>
              <w:keepNext w:val="0"/>
              <w:keepLines w:val="0"/>
              <w:widowControl/>
              <w:suppressLineNumbers w:val="0"/>
              <w:jc w:val="center"/>
              <w:textAlignment w:val="top"/>
              <w:rPr>
                <w:rFonts w:hint="default" w:asciiTheme="minorEastAsia" w:hAnsiTheme="minorEastAsia" w:eastAsiaTheme="minorEastAsia" w:cstheme="majorBidi"/>
                <w:b w:val="0"/>
                <w:bCs/>
                <w:kern w:val="2"/>
                <w:sz w:val="20"/>
                <w:szCs w:val="20"/>
                <w:lang w:val="en-US" w:eastAsia="zh-CN" w:bidi="ar-SA"/>
              </w:rPr>
            </w:pPr>
            <w:r>
              <w:rPr>
                <w:rFonts w:hint="eastAsia" w:asciiTheme="minorEastAsia" w:hAnsiTheme="minorEastAsia" w:eastAsiaTheme="minorEastAsia" w:cstheme="majorBidi"/>
                <w:b w:val="0"/>
                <w:bCs/>
                <w:kern w:val="2"/>
                <w:sz w:val="20"/>
                <w:szCs w:val="20"/>
                <w:lang w:val="en-US" w:eastAsia="zh-CN" w:bidi="ar-SA"/>
              </w:rPr>
              <w:t>居民服务、修理和其他服务业</w:t>
            </w:r>
          </w:p>
        </w:tc>
        <w:tc>
          <w:tcPr>
            <w:tcW w:w="1926"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center"/>
          </w:tcPr>
          <w:p>
            <w:pPr>
              <w:keepNext w:val="0"/>
              <w:keepLines w:val="0"/>
              <w:widowControl/>
              <w:suppressLineNumbers w:val="0"/>
              <w:jc w:val="center"/>
              <w:textAlignment w:val="top"/>
              <w:rPr>
                <w:rFonts w:hint="default" w:asciiTheme="minorEastAsia" w:hAnsiTheme="minorEastAsia" w:eastAsiaTheme="minorEastAsia" w:cstheme="majorBidi"/>
                <w:b w:val="0"/>
                <w:bCs/>
                <w:kern w:val="2"/>
                <w:sz w:val="20"/>
                <w:szCs w:val="20"/>
                <w:lang w:val="ru-RU" w:eastAsia="zh-CN" w:bidi="ar-SA"/>
              </w:rPr>
            </w:pPr>
            <w:r>
              <w:rPr>
                <w:rFonts w:hint="eastAsia" w:asciiTheme="minorEastAsia" w:hAnsiTheme="minorEastAsia" w:eastAsiaTheme="minorEastAsia" w:cstheme="majorBidi"/>
                <w:b w:val="0"/>
                <w:bCs/>
                <w:kern w:val="2"/>
                <w:sz w:val="20"/>
                <w:szCs w:val="20"/>
                <w:lang w:val="en-US" w:eastAsia="zh-CN" w:bidi="ar-SA"/>
              </w:rPr>
              <w:t>8</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center"/>
          </w:tcPr>
          <w:p>
            <w:pPr>
              <w:keepNext w:val="0"/>
              <w:keepLines w:val="0"/>
              <w:widowControl/>
              <w:suppressLineNumbers w:val="0"/>
              <w:jc w:val="center"/>
              <w:textAlignment w:val="top"/>
              <w:rPr>
                <w:rFonts w:hint="default" w:asciiTheme="minorEastAsia" w:hAnsiTheme="minorEastAsia" w:eastAsiaTheme="minorEastAsia" w:cstheme="majorBidi"/>
                <w:b w:val="0"/>
                <w:bCs/>
                <w:kern w:val="2"/>
                <w:sz w:val="20"/>
                <w:szCs w:val="20"/>
                <w:lang w:val="en-US" w:eastAsia="zh-CN" w:bidi="ar-SA"/>
              </w:rPr>
            </w:pPr>
            <w:r>
              <w:rPr>
                <w:rFonts w:hint="eastAsia" w:asciiTheme="minorEastAsia" w:hAnsiTheme="minorEastAsia" w:eastAsiaTheme="minorEastAsia" w:cstheme="majorBidi"/>
                <w:b w:val="0"/>
                <w:bCs/>
                <w:kern w:val="2"/>
                <w:sz w:val="20"/>
                <w:szCs w:val="20"/>
                <w:lang w:val="en-US" w:eastAsia="zh-CN" w:bidi="ar-SA"/>
              </w:rPr>
              <w:t>11.76</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3549"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vAlign w:val="center"/>
          </w:tcPr>
          <w:p>
            <w:pPr>
              <w:keepNext w:val="0"/>
              <w:keepLines w:val="0"/>
              <w:widowControl/>
              <w:suppressLineNumbers w:val="0"/>
              <w:jc w:val="center"/>
              <w:textAlignment w:val="top"/>
              <w:rPr>
                <w:rFonts w:hint="eastAsia" w:asciiTheme="minorEastAsia" w:hAnsiTheme="minorEastAsia" w:eastAsiaTheme="minorEastAsia" w:cstheme="majorBidi"/>
                <w:b w:val="0"/>
                <w:bCs/>
                <w:kern w:val="2"/>
                <w:sz w:val="20"/>
                <w:szCs w:val="20"/>
                <w:lang w:val="en-US" w:eastAsia="zh-CN" w:bidi="ar-SA"/>
              </w:rPr>
            </w:pPr>
            <w:r>
              <w:rPr>
                <w:rFonts w:hint="eastAsia" w:asciiTheme="minorEastAsia" w:hAnsiTheme="minorEastAsia" w:eastAsiaTheme="minorEastAsia" w:cstheme="majorBidi"/>
                <w:b w:val="0"/>
                <w:bCs/>
                <w:kern w:val="2"/>
                <w:sz w:val="20"/>
                <w:szCs w:val="20"/>
                <w:lang w:val="en-US" w:eastAsia="zh-CN" w:bidi="ar-SA"/>
              </w:rPr>
              <w:t>农、林、牧、渔业</w:t>
            </w:r>
          </w:p>
        </w:tc>
        <w:tc>
          <w:tcPr>
            <w:tcW w:w="1926"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vAlign w:val="center"/>
          </w:tcPr>
          <w:p>
            <w:pPr>
              <w:keepNext w:val="0"/>
              <w:keepLines w:val="0"/>
              <w:widowControl/>
              <w:suppressLineNumbers w:val="0"/>
              <w:jc w:val="center"/>
              <w:textAlignment w:val="top"/>
              <w:rPr>
                <w:rFonts w:hint="eastAsia" w:asciiTheme="minorEastAsia" w:hAnsiTheme="minorEastAsia" w:eastAsiaTheme="minorEastAsia" w:cstheme="majorBidi"/>
                <w:b w:val="0"/>
                <w:bCs/>
                <w:kern w:val="2"/>
                <w:sz w:val="20"/>
                <w:szCs w:val="20"/>
                <w:lang w:val="en-US" w:eastAsia="zh-CN" w:bidi="ar-SA"/>
              </w:rPr>
            </w:pPr>
            <w:r>
              <w:rPr>
                <w:rFonts w:hint="eastAsia" w:asciiTheme="minorEastAsia" w:hAnsiTheme="minorEastAsia" w:eastAsiaTheme="minorEastAsia" w:cstheme="majorBidi"/>
                <w:b w:val="0"/>
                <w:bCs/>
                <w:kern w:val="2"/>
                <w:sz w:val="20"/>
                <w:szCs w:val="20"/>
                <w:lang w:val="en-US" w:eastAsia="zh-CN" w:bidi="ar-SA"/>
              </w:rPr>
              <w:t>8</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vAlign w:val="center"/>
          </w:tcPr>
          <w:p>
            <w:pPr>
              <w:keepNext w:val="0"/>
              <w:keepLines w:val="0"/>
              <w:widowControl/>
              <w:suppressLineNumbers w:val="0"/>
              <w:jc w:val="center"/>
              <w:textAlignment w:val="top"/>
              <w:rPr>
                <w:rFonts w:hint="eastAsia" w:asciiTheme="minorEastAsia" w:hAnsiTheme="minorEastAsia" w:eastAsiaTheme="minorEastAsia" w:cstheme="majorBidi"/>
                <w:b w:val="0"/>
                <w:bCs/>
                <w:kern w:val="2"/>
                <w:sz w:val="20"/>
                <w:szCs w:val="20"/>
                <w:lang w:val="en-US" w:eastAsia="zh-CN" w:bidi="ar-SA"/>
              </w:rPr>
            </w:pPr>
            <w:r>
              <w:rPr>
                <w:rFonts w:hint="eastAsia" w:asciiTheme="minorEastAsia" w:hAnsiTheme="minorEastAsia" w:eastAsiaTheme="minorEastAsia" w:cstheme="majorBidi"/>
                <w:b w:val="0"/>
                <w:bCs/>
                <w:kern w:val="2"/>
                <w:sz w:val="20"/>
                <w:szCs w:val="20"/>
                <w:lang w:val="en-US" w:eastAsia="zh-CN" w:bidi="ar-SA"/>
              </w:rPr>
              <w:t>11.76</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3549"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vAlign w:val="center"/>
          </w:tcPr>
          <w:p>
            <w:pPr>
              <w:keepNext w:val="0"/>
              <w:keepLines w:val="0"/>
              <w:widowControl/>
              <w:suppressLineNumbers w:val="0"/>
              <w:jc w:val="center"/>
              <w:textAlignment w:val="top"/>
              <w:rPr>
                <w:rFonts w:hint="eastAsia" w:asciiTheme="minorEastAsia" w:hAnsiTheme="minorEastAsia" w:eastAsiaTheme="minorEastAsia" w:cstheme="majorBidi"/>
                <w:b w:val="0"/>
                <w:bCs/>
                <w:kern w:val="2"/>
                <w:sz w:val="20"/>
                <w:szCs w:val="20"/>
                <w:lang w:val="en-US" w:eastAsia="zh-CN" w:bidi="ar-SA"/>
              </w:rPr>
            </w:pPr>
            <w:r>
              <w:rPr>
                <w:rFonts w:hint="eastAsia" w:asciiTheme="minorEastAsia" w:hAnsiTheme="minorEastAsia" w:eastAsiaTheme="minorEastAsia" w:cstheme="majorBidi"/>
                <w:b w:val="0"/>
                <w:bCs/>
                <w:kern w:val="2"/>
                <w:sz w:val="20"/>
                <w:szCs w:val="20"/>
                <w:lang w:val="en-US" w:eastAsia="zh-CN" w:bidi="ar-SA"/>
              </w:rPr>
              <w:t>文化、体育和娱乐业</w:t>
            </w:r>
          </w:p>
        </w:tc>
        <w:tc>
          <w:tcPr>
            <w:tcW w:w="1926"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center"/>
          </w:tcPr>
          <w:p>
            <w:pPr>
              <w:keepNext w:val="0"/>
              <w:keepLines w:val="0"/>
              <w:widowControl/>
              <w:suppressLineNumbers w:val="0"/>
              <w:jc w:val="center"/>
              <w:textAlignment w:val="top"/>
              <w:rPr>
                <w:rFonts w:hint="eastAsia" w:asciiTheme="minorEastAsia" w:hAnsiTheme="minorEastAsia" w:eastAsiaTheme="minorEastAsia" w:cstheme="majorBidi"/>
                <w:b w:val="0"/>
                <w:bCs/>
                <w:kern w:val="2"/>
                <w:sz w:val="20"/>
                <w:szCs w:val="20"/>
                <w:lang w:val="en-US" w:eastAsia="zh-CN" w:bidi="ar-SA"/>
              </w:rPr>
            </w:pPr>
            <w:r>
              <w:rPr>
                <w:rFonts w:hint="eastAsia" w:asciiTheme="minorEastAsia" w:hAnsiTheme="minorEastAsia" w:eastAsiaTheme="minorEastAsia" w:cstheme="majorBidi"/>
                <w:b w:val="0"/>
                <w:bCs/>
                <w:kern w:val="2"/>
                <w:sz w:val="20"/>
                <w:szCs w:val="20"/>
                <w:lang w:val="en-US" w:eastAsia="zh-CN" w:bidi="ar-SA"/>
              </w:rPr>
              <w:t>5</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center"/>
          </w:tcPr>
          <w:p>
            <w:pPr>
              <w:keepNext w:val="0"/>
              <w:keepLines w:val="0"/>
              <w:widowControl/>
              <w:suppressLineNumbers w:val="0"/>
              <w:jc w:val="center"/>
              <w:textAlignment w:val="top"/>
              <w:rPr>
                <w:rFonts w:hint="eastAsia" w:asciiTheme="minorEastAsia" w:hAnsiTheme="minorEastAsia" w:eastAsiaTheme="minorEastAsia" w:cstheme="majorBidi"/>
                <w:b w:val="0"/>
                <w:bCs/>
                <w:kern w:val="2"/>
                <w:sz w:val="20"/>
                <w:szCs w:val="20"/>
                <w:lang w:val="en-US" w:eastAsia="zh-CN" w:bidi="ar-SA"/>
              </w:rPr>
            </w:pPr>
            <w:r>
              <w:rPr>
                <w:rFonts w:hint="eastAsia" w:asciiTheme="minorEastAsia" w:hAnsiTheme="minorEastAsia" w:eastAsiaTheme="minorEastAsia" w:cstheme="majorBidi"/>
                <w:b w:val="0"/>
                <w:bCs/>
                <w:kern w:val="2"/>
                <w:sz w:val="20"/>
                <w:szCs w:val="20"/>
                <w:lang w:val="en-US" w:eastAsia="zh-CN" w:bidi="ar-SA"/>
              </w:rPr>
              <w:t>7.35</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3549"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vAlign w:val="center"/>
          </w:tcPr>
          <w:p>
            <w:pPr>
              <w:keepNext w:val="0"/>
              <w:keepLines w:val="0"/>
              <w:widowControl/>
              <w:suppressLineNumbers w:val="0"/>
              <w:jc w:val="center"/>
              <w:textAlignment w:val="top"/>
              <w:rPr>
                <w:rFonts w:hint="eastAsia" w:asciiTheme="minorEastAsia" w:hAnsiTheme="minorEastAsia" w:eastAsiaTheme="minorEastAsia" w:cstheme="majorBidi"/>
                <w:b w:val="0"/>
                <w:bCs/>
                <w:kern w:val="2"/>
                <w:sz w:val="20"/>
                <w:szCs w:val="20"/>
                <w:lang w:val="en-US" w:eastAsia="zh-CN" w:bidi="ar-SA"/>
              </w:rPr>
            </w:pPr>
            <w:r>
              <w:rPr>
                <w:rFonts w:hint="eastAsia" w:asciiTheme="minorEastAsia" w:hAnsiTheme="minorEastAsia" w:eastAsiaTheme="minorEastAsia" w:cstheme="majorBidi"/>
                <w:b w:val="0"/>
                <w:bCs/>
                <w:kern w:val="2"/>
                <w:sz w:val="20"/>
                <w:szCs w:val="20"/>
                <w:lang w:val="en-US" w:eastAsia="zh-CN" w:bidi="ar-SA"/>
              </w:rPr>
              <w:t>租赁和商务服务业</w:t>
            </w:r>
          </w:p>
        </w:tc>
        <w:tc>
          <w:tcPr>
            <w:tcW w:w="1926"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vAlign w:val="center"/>
          </w:tcPr>
          <w:p>
            <w:pPr>
              <w:keepNext w:val="0"/>
              <w:keepLines w:val="0"/>
              <w:widowControl/>
              <w:suppressLineNumbers w:val="0"/>
              <w:jc w:val="center"/>
              <w:textAlignment w:val="top"/>
              <w:rPr>
                <w:rFonts w:hint="eastAsia" w:asciiTheme="minorEastAsia" w:hAnsiTheme="minorEastAsia" w:eastAsiaTheme="minorEastAsia" w:cstheme="majorBidi"/>
                <w:b w:val="0"/>
                <w:bCs/>
                <w:kern w:val="2"/>
                <w:sz w:val="20"/>
                <w:szCs w:val="20"/>
                <w:lang w:val="en-US" w:eastAsia="zh-CN" w:bidi="ar-SA"/>
              </w:rPr>
            </w:pPr>
            <w:r>
              <w:rPr>
                <w:rFonts w:hint="eastAsia" w:asciiTheme="minorEastAsia" w:hAnsiTheme="minorEastAsia" w:eastAsiaTheme="minorEastAsia" w:cstheme="majorBidi"/>
                <w:b w:val="0"/>
                <w:bCs/>
                <w:kern w:val="2"/>
                <w:sz w:val="20"/>
                <w:szCs w:val="20"/>
                <w:lang w:val="en-US" w:eastAsia="zh-CN" w:bidi="ar-SA"/>
              </w:rPr>
              <w:t>3</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vAlign w:val="center"/>
          </w:tcPr>
          <w:p>
            <w:pPr>
              <w:keepNext w:val="0"/>
              <w:keepLines w:val="0"/>
              <w:widowControl/>
              <w:suppressLineNumbers w:val="0"/>
              <w:jc w:val="center"/>
              <w:textAlignment w:val="top"/>
              <w:rPr>
                <w:rFonts w:hint="eastAsia" w:asciiTheme="minorEastAsia" w:hAnsiTheme="minorEastAsia" w:eastAsiaTheme="minorEastAsia" w:cstheme="majorBidi"/>
                <w:b w:val="0"/>
                <w:bCs/>
                <w:kern w:val="2"/>
                <w:sz w:val="20"/>
                <w:szCs w:val="20"/>
                <w:lang w:val="en-US" w:eastAsia="zh-CN" w:bidi="ar-SA"/>
              </w:rPr>
            </w:pPr>
            <w:r>
              <w:rPr>
                <w:rFonts w:hint="eastAsia" w:asciiTheme="minorEastAsia" w:hAnsiTheme="minorEastAsia" w:eastAsiaTheme="minorEastAsia" w:cstheme="majorBidi"/>
                <w:b w:val="0"/>
                <w:bCs/>
                <w:kern w:val="2"/>
                <w:sz w:val="20"/>
                <w:szCs w:val="20"/>
                <w:lang w:val="en-US" w:eastAsia="zh-CN" w:bidi="ar-SA"/>
              </w:rPr>
              <w:t>4.41</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3549"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vAlign w:val="center"/>
          </w:tcPr>
          <w:p>
            <w:pPr>
              <w:keepNext w:val="0"/>
              <w:keepLines w:val="0"/>
              <w:widowControl/>
              <w:suppressLineNumbers w:val="0"/>
              <w:jc w:val="center"/>
              <w:textAlignment w:val="top"/>
              <w:rPr>
                <w:rFonts w:hint="eastAsia" w:asciiTheme="minorEastAsia" w:hAnsiTheme="minorEastAsia" w:eastAsiaTheme="minorEastAsia" w:cstheme="majorBidi"/>
                <w:b w:val="0"/>
                <w:bCs/>
                <w:kern w:val="2"/>
                <w:sz w:val="20"/>
                <w:szCs w:val="20"/>
                <w:lang w:val="en-US" w:eastAsia="zh-CN" w:bidi="ar-SA"/>
              </w:rPr>
            </w:pPr>
            <w:r>
              <w:rPr>
                <w:rFonts w:hint="eastAsia" w:asciiTheme="minorEastAsia" w:hAnsiTheme="minorEastAsia" w:eastAsiaTheme="minorEastAsia" w:cstheme="majorBidi"/>
                <w:b w:val="0"/>
                <w:bCs/>
                <w:kern w:val="2"/>
                <w:sz w:val="20"/>
                <w:szCs w:val="20"/>
                <w:lang w:val="en-US" w:eastAsia="zh-CN" w:bidi="ar-SA"/>
              </w:rPr>
              <w:t>建筑业</w:t>
            </w:r>
          </w:p>
        </w:tc>
        <w:tc>
          <w:tcPr>
            <w:tcW w:w="1926"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center"/>
          </w:tcPr>
          <w:p>
            <w:pPr>
              <w:keepNext w:val="0"/>
              <w:keepLines w:val="0"/>
              <w:widowControl/>
              <w:suppressLineNumbers w:val="0"/>
              <w:jc w:val="center"/>
              <w:textAlignment w:val="top"/>
              <w:rPr>
                <w:rFonts w:hint="eastAsia" w:asciiTheme="minorEastAsia" w:hAnsiTheme="minorEastAsia" w:eastAsiaTheme="minorEastAsia" w:cstheme="majorBidi"/>
                <w:b w:val="0"/>
                <w:bCs/>
                <w:kern w:val="2"/>
                <w:sz w:val="20"/>
                <w:szCs w:val="20"/>
                <w:lang w:val="en-US" w:eastAsia="zh-CN" w:bidi="ar-SA"/>
              </w:rPr>
            </w:pPr>
            <w:r>
              <w:rPr>
                <w:rFonts w:hint="eastAsia" w:asciiTheme="minorEastAsia" w:hAnsiTheme="minorEastAsia" w:eastAsiaTheme="minorEastAsia" w:cstheme="majorBidi"/>
                <w:b w:val="0"/>
                <w:bCs/>
                <w:kern w:val="2"/>
                <w:sz w:val="20"/>
                <w:szCs w:val="20"/>
                <w:lang w:val="en-US" w:eastAsia="zh-CN" w:bidi="ar-SA"/>
              </w:rPr>
              <w:t>2</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center"/>
          </w:tcPr>
          <w:p>
            <w:pPr>
              <w:keepNext w:val="0"/>
              <w:keepLines w:val="0"/>
              <w:widowControl/>
              <w:suppressLineNumbers w:val="0"/>
              <w:jc w:val="center"/>
              <w:textAlignment w:val="top"/>
              <w:rPr>
                <w:rFonts w:hint="eastAsia" w:asciiTheme="minorEastAsia" w:hAnsiTheme="minorEastAsia" w:eastAsiaTheme="minorEastAsia" w:cstheme="majorBidi"/>
                <w:b w:val="0"/>
                <w:bCs/>
                <w:kern w:val="2"/>
                <w:sz w:val="20"/>
                <w:szCs w:val="20"/>
                <w:lang w:val="en-US" w:eastAsia="zh-CN" w:bidi="ar-SA"/>
              </w:rPr>
            </w:pPr>
            <w:r>
              <w:rPr>
                <w:rFonts w:hint="eastAsia" w:asciiTheme="minorEastAsia" w:hAnsiTheme="minorEastAsia" w:eastAsiaTheme="minorEastAsia" w:cstheme="majorBidi"/>
                <w:b w:val="0"/>
                <w:bCs/>
                <w:kern w:val="2"/>
                <w:sz w:val="20"/>
                <w:szCs w:val="20"/>
                <w:lang w:val="en-US" w:eastAsia="zh-CN" w:bidi="ar-SA"/>
              </w:rPr>
              <w:t>2.94</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3549"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vAlign w:val="center"/>
          </w:tcPr>
          <w:p>
            <w:pPr>
              <w:keepNext w:val="0"/>
              <w:keepLines w:val="0"/>
              <w:widowControl/>
              <w:suppressLineNumbers w:val="0"/>
              <w:jc w:val="center"/>
              <w:textAlignment w:val="top"/>
              <w:rPr>
                <w:rFonts w:hint="eastAsia" w:asciiTheme="minorEastAsia" w:hAnsiTheme="minorEastAsia" w:eastAsiaTheme="minorEastAsia" w:cstheme="majorBidi"/>
                <w:b w:val="0"/>
                <w:bCs/>
                <w:kern w:val="2"/>
                <w:sz w:val="20"/>
                <w:szCs w:val="20"/>
                <w:lang w:val="en-US" w:eastAsia="zh-CN" w:bidi="ar-SA"/>
              </w:rPr>
            </w:pPr>
            <w:r>
              <w:rPr>
                <w:rFonts w:hint="eastAsia" w:asciiTheme="minorEastAsia" w:hAnsiTheme="minorEastAsia" w:eastAsiaTheme="minorEastAsia" w:cstheme="majorBidi"/>
                <w:b w:val="0"/>
                <w:bCs/>
                <w:kern w:val="2"/>
                <w:sz w:val="20"/>
                <w:szCs w:val="20"/>
                <w:lang w:val="en-US" w:eastAsia="zh-CN" w:bidi="ar-SA"/>
              </w:rPr>
              <w:t>交通运输、仓储和邮政业</w:t>
            </w:r>
          </w:p>
        </w:tc>
        <w:tc>
          <w:tcPr>
            <w:tcW w:w="1926"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vAlign w:val="center"/>
          </w:tcPr>
          <w:p>
            <w:pPr>
              <w:keepNext w:val="0"/>
              <w:keepLines w:val="0"/>
              <w:widowControl/>
              <w:suppressLineNumbers w:val="0"/>
              <w:jc w:val="center"/>
              <w:textAlignment w:val="top"/>
              <w:rPr>
                <w:rFonts w:hint="eastAsia" w:asciiTheme="minorEastAsia" w:hAnsiTheme="minorEastAsia" w:eastAsiaTheme="minorEastAsia" w:cstheme="majorBidi"/>
                <w:b w:val="0"/>
                <w:bCs/>
                <w:kern w:val="2"/>
                <w:sz w:val="20"/>
                <w:szCs w:val="20"/>
                <w:lang w:val="en-US" w:eastAsia="zh-CN" w:bidi="ar-SA"/>
              </w:rPr>
            </w:pPr>
            <w:r>
              <w:rPr>
                <w:rFonts w:hint="eastAsia" w:asciiTheme="minorEastAsia" w:hAnsiTheme="minorEastAsia" w:eastAsiaTheme="minorEastAsia" w:cstheme="majorBidi"/>
                <w:b w:val="0"/>
                <w:bCs/>
                <w:kern w:val="2"/>
                <w:sz w:val="20"/>
                <w:szCs w:val="20"/>
                <w:lang w:val="en-US" w:eastAsia="zh-CN" w:bidi="ar-SA"/>
              </w:rPr>
              <w:t>2</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vAlign w:val="center"/>
          </w:tcPr>
          <w:p>
            <w:pPr>
              <w:keepNext w:val="0"/>
              <w:keepLines w:val="0"/>
              <w:widowControl/>
              <w:suppressLineNumbers w:val="0"/>
              <w:jc w:val="center"/>
              <w:textAlignment w:val="top"/>
              <w:rPr>
                <w:rFonts w:hint="eastAsia" w:asciiTheme="minorEastAsia" w:hAnsiTheme="minorEastAsia" w:eastAsiaTheme="minorEastAsia" w:cstheme="majorBidi"/>
                <w:b w:val="0"/>
                <w:bCs/>
                <w:kern w:val="2"/>
                <w:sz w:val="20"/>
                <w:szCs w:val="20"/>
                <w:lang w:val="en-US" w:eastAsia="zh-CN" w:bidi="ar-SA"/>
              </w:rPr>
            </w:pPr>
            <w:r>
              <w:rPr>
                <w:rFonts w:hint="eastAsia" w:asciiTheme="minorEastAsia" w:hAnsiTheme="minorEastAsia" w:eastAsiaTheme="minorEastAsia" w:cstheme="majorBidi"/>
                <w:b w:val="0"/>
                <w:bCs/>
                <w:kern w:val="2"/>
                <w:sz w:val="20"/>
                <w:szCs w:val="20"/>
                <w:lang w:val="en-US" w:eastAsia="zh-CN" w:bidi="ar-SA"/>
              </w:rPr>
              <w:t>2.94</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3549"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vAlign w:val="center"/>
          </w:tcPr>
          <w:p>
            <w:pPr>
              <w:keepNext w:val="0"/>
              <w:keepLines w:val="0"/>
              <w:widowControl/>
              <w:suppressLineNumbers w:val="0"/>
              <w:jc w:val="center"/>
              <w:textAlignment w:val="top"/>
              <w:rPr>
                <w:rFonts w:hint="eastAsia" w:asciiTheme="minorEastAsia" w:hAnsiTheme="minorEastAsia" w:eastAsiaTheme="minorEastAsia" w:cstheme="majorBidi"/>
                <w:b w:val="0"/>
                <w:bCs/>
                <w:kern w:val="2"/>
                <w:sz w:val="20"/>
                <w:szCs w:val="20"/>
                <w:lang w:val="en-US" w:eastAsia="zh-CN" w:bidi="ar-SA"/>
              </w:rPr>
            </w:pPr>
            <w:r>
              <w:rPr>
                <w:rFonts w:hint="eastAsia" w:asciiTheme="minorEastAsia" w:hAnsiTheme="minorEastAsia" w:eastAsiaTheme="minorEastAsia" w:cstheme="majorBidi"/>
                <w:b w:val="0"/>
                <w:bCs/>
                <w:kern w:val="2"/>
                <w:sz w:val="20"/>
                <w:szCs w:val="20"/>
                <w:lang w:val="en-US" w:eastAsia="zh-CN" w:bidi="ar-SA"/>
              </w:rPr>
              <w:t>公共管理、社会保障和社会组织</w:t>
            </w:r>
          </w:p>
        </w:tc>
        <w:tc>
          <w:tcPr>
            <w:tcW w:w="1926"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center"/>
          </w:tcPr>
          <w:p>
            <w:pPr>
              <w:keepNext w:val="0"/>
              <w:keepLines w:val="0"/>
              <w:widowControl/>
              <w:suppressLineNumbers w:val="0"/>
              <w:jc w:val="center"/>
              <w:textAlignment w:val="top"/>
              <w:rPr>
                <w:rFonts w:hint="eastAsia" w:asciiTheme="minorEastAsia" w:hAnsiTheme="minorEastAsia" w:eastAsiaTheme="minorEastAsia" w:cstheme="majorBidi"/>
                <w:b w:val="0"/>
                <w:bCs/>
                <w:kern w:val="2"/>
                <w:sz w:val="20"/>
                <w:szCs w:val="20"/>
                <w:lang w:val="en-US" w:eastAsia="zh-CN" w:bidi="ar-SA"/>
              </w:rPr>
            </w:pPr>
            <w:r>
              <w:rPr>
                <w:rFonts w:hint="eastAsia" w:asciiTheme="minorEastAsia" w:hAnsiTheme="minorEastAsia" w:eastAsiaTheme="minorEastAsia" w:cstheme="majorBidi"/>
                <w:b w:val="0"/>
                <w:bCs/>
                <w:kern w:val="2"/>
                <w:sz w:val="20"/>
                <w:szCs w:val="20"/>
                <w:lang w:val="en-US" w:eastAsia="zh-CN" w:bidi="ar-SA"/>
              </w:rPr>
              <w:t>1</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center"/>
          </w:tcPr>
          <w:p>
            <w:pPr>
              <w:keepNext w:val="0"/>
              <w:keepLines w:val="0"/>
              <w:widowControl/>
              <w:suppressLineNumbers w:val="0"/>
              <w:jc w:val="center"/>
              <w:textAlignment w:val="top"/>
              <w:rPr>
                <w:rFonts w:hint="eastAsia" w:asciiTheme="minorEastAsia" w:hAnsiTheme="minorEastAsia" w:eastAsiaTheme="minorEastAsia" w:cstheme="majorBidi"/>
                <w:b w:val="0"/>
                <w:bCs/>
                <w:kern w:val="2"/>
                <w:sz w:val="20"/>
                <w:szCs w:val="20"/>
                <w:lang w:val="en-US" w:eastAsia="zh-CN" w:bidi="ar-SA"/>
              </w:rPr>
            </w:pPr>
            <w:r>
              <w:rPr>
                <w:rFonts w:hint="eastAsia" w:asciiTheme="minorEastAsia" w:hAnsiTheme="minorEastAsia" w:eastAsiaTheme="minorEastAsia" w:cstheme="majorBidi"/>
                <w:b w:val="0"/>
                <w:bCs/>
                <w:kern w:val="2"/>
                <w:sz w:val="20"/>
                <w:szCs w:val="20"/>
                <w:lang w:val="en-US" w:eastAsia="zh-CN" w:bidi="ar-SA"/>
              </w:rPr>
              <w:t>1.47</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3549"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vAlign w:val="center"/>
          </w:tcPr>
          <w:p>
            <w:pPr>
              <w:keepNext w:val="0"/>
              <w:keepLines w:val="0"/>
              <w:widowControl/>
              <w:suppressLineNumbers w:val="0"/>
              <w:jc w:val="center"/>
              <w:textAlignment w:val="top"/>
              <w:rPr>
                <w:rFonts w:hint="eastAsia" w:asciiTheme="minorEastAsia" w:hAnsiTheme="minorEastAsia" w:eastAsiaTheme="minorEastAsia" w:cstheme="majorBidi"/>
                <w:b w:val="0"/>
                <w:bCs/>
                <w:kern w:val="2"/>
                <w:sz w:val="20"/>
                <w:szCs w:val="20"/>
                <w:lang w:val="en-US" w:eastAsia="zh-CN" w:bidi="ar-SA"/>
              </w:rPr>
            </w:pPr>
            <w:r>
              <w:rPr>
                <w:rFonts w:hint="eastAsia" w:asciiTheme="minorEastAsia" w:hAnsiTheme="minorEastAsia" w:eastAsiaTheme="minorEastAsia" w:cstheme="majorBidi"/>
                <w:b w:val="0"/>
                <w:bCs/>
                <w:kern w:val="2"/>
                <w:sz w:val="20"/>
                <w:szCs w:val="20"/>
                <w:lang w:val="en-US" w:eastAsia="zh-CN" w:bidi="ar-SA"/>
              </w:rPr>
              <w:t>教育</w:t>
            </w:r>
          </w:p>
        </w:tc>
        <w:tc>
          <w:tcPr>
            <w:tcW w:w="1926"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vAlign w:val="center"/>
          </w:tcPr>
          <w:p>
            <w:pPr>
              <w:keepNext w:val="0"/>
              <w:keepLines w:val="0"/>
              <w:widowControl/>
              <w:suppressLineNumbers w:val="0"/>
              <w:jc w:val="center"/>
              <w:textAlignment w:val="top"/>
              <w:rPr>
                <w:rFonts w:hint="eastAsia" w:asciiTheme="minorEastAsia" w:hAnsiTheme="minorEastAsia" w:eastAsiaTheme="minorEastAsia" w:cstheme="majorBidi"/>
                <w:b w:val="0"/>
                <w:bCs/>
                <w:kern w:val="2"/>
                <w:sz w:val="20"/>
                <w:szCs w:val="20"/>
                <w:lang w:val="en-US" w:eastAsia="zh-CN" w:bidi="ar-SA"/>
              </w:rPr>
            </w:pPr>
            <w:r>
              <w:rPr>
                <w:rFonts w:hint="eastAsia" w:asciiTheme="minorEastAsia" w:hAnsiTheme="minorEastAsia" w:eastAsiaTheme="minorEastAsia" w:cstheme="majorBidi"/>
                <w:b w:val="0"/>
                <w:bCs/>
                <w:kern w:val="2"/>
                <w:sz w:val="20"/>
                <w:szCs w:val="20"/>
                <w:lang w:val="en-US" w:eastAsia="zh-CN" w:bidi="ar-SA"/>
              </w:rPr>
              <w:t>1</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vAlign w:val="center"/>
          </w:tcPr>
          <w:p>
            <w:pPr>
              <w:keepNext w:val="0"/>
              <w:keepLines w:val="0"/>
              <w:widowControl/>
              <w:suppressLineNumbers w:val="0"/>
              <w:jc w:val="center"/>
              <w:textAlignment w:val="top"/>
              <w:rPr>
                <w:rFonts w:hint="eastAsia" w:asciiTheme="minorEastAsia" w:hAnsiTheme="minorEastAsia" w:eastAsiaTheme="minorEastAsia" w:cstheme="majorBidi"/>
                <w:b w:val="0"/>
                <w:bCs/>
                <w:kern w:val="2"/>
                <w:sz w:val="20"/>
                <w:szCs w:val="20"/>
                <w:lang w:val="en-US" w:eastAsia="zh-CN" w:bidi="ar-SA"/>
              </w:rPr>
            </w:pPr>
            <w:r>
              <w:rPr>
                <w:rFonts w:hint="eastAsia" w:asciiTheme="minorEastAsia" w:hAnsiTheme="minorEastAsia" w:eastAsiaTheme="minorEastAsia" w:cstheme="majorBidi"/>
                <w:b w:val="0"/>
                <w:bCs/>
                <w:kern w:val="2"/>
                <w:sz w:val="20"/>
                <w:szCs w:val="20"/>
                <w:lang w:val="en-US" w:eastAsia="zh-CN" w:bidi="ar-SA"/>
              </w:rPr>
              <w:t>1.47</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3549"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vAlign w:val="center"/>
          </w:tcPr>
          <w:p>
            <w:pPr>
              <w:keepNext w:val="0"/>
              <w:keepLines w:val="0"/>
              <w:widowControl/>
              <w:suppressLineNumbers w:val="0"/>
              <w:jc w:val="center"/>
              <w:textAlignment w:val="top"/>
              <w:rPr>
                <w:rFonts w:hint="eastAsia" w:asciiTheme="minorEastAsia" w:hAnsiTheme="minorEastAsia" w:eastAsiaTheme="minorEastAsia" w:cstheme="majorBidi"/>
                <w:b w:val="0"/>
                <w:bCs/>
                <w:kern w:val="2"/>
                <w:sz w:val="20"/>
                <w:szCs w:val="20"/>
                <w:lang w:val="en-US" w:eastAsia="zh-CN" w:bidi="ar-SA"/>
              </w:rPr>
            </w:pPr>
            <w:r>
              <w:rPr>
                <w:rFonts w:hint="eastAsia" w:asciiTheme="minorEastAsia" w:hAnsiTheme="minorEastAsia" w:eastAsiaTheme="minorEastAsia" w:cstheme="majorBidi"/>
                <w:b w:val="0"/>
                <w:bCs/>
                <w:kern w:val="2"/>
                <w:sz w:val="20"/>
                <w:szCs w:val="20"/>
                <w:lang w:val="en-US" w:eastAsia="zh-CN" w:bidi="ar-SA"/>
              </w:rPr>
              <w:t>水利、环境和公共设施管理业</w:t>
            </w:r>
          </w:p>
        </w:tc>
        <w:tc>
          <w:tcPr>
            <w:tcW w:w="1926"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center"/>
          </w:tcPr>
          <w:p>
            <w:pPr>
              <w:keepNext w:val="0"/>
              <w:keepLines w:val="0"/>
              <w:widowControl/>
              <w:suppressLineNumbers w:val="0"/>
              <w:jc w:val="center"/>
              <w:textAlignment w:val="top"/>
              <w:rPr>
                <w:rFonts w:hint="eastAsia" w:asciiTheme="minorEastAsia" w:hAnsiTheme="minorEastAsia" w:eastAsiaTheme="minorEastAsia" w:cstheme="majorBidi"/>
                <w:b w:val="0"/>
                <w:bCs/>
                <w:kern w:val="2"/>
                <w:sz w:val="20"/>
                <w:szCs w:val="20"/>
                <w:lang w:val="en-US" w:eastAsia="zh-CN" w:bidi="ar-SA"/>
              </w:rPr>
            </w:pPr>
            <w:r>
              <w:rPr>
                <w:rFonts w:hint="eastAsia" w:asciiTheme="minorEastAsia" w:hAnsiTheme="minorEastAsia" w:eastAsiaTheme="minorEastAsia" w:cstheme="majorBidi"/>
                <w:b w:val="0"/>
                <w:bCs/>
                <w:kern w:val="2"/>
                <w:sz w:val="20"/>
                <w:szCs w:val="20"/>
                <w:lang w:val="en-US" w:eastAsia="zh-CN" w:bidi="ar-SA"/>
              </w:rPr>
              <w:t>1</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vAlign w:val="center"/>
          </w:tcPr>
          <w:p>
            <w:pPr>
              <w:keepNext w:val="0"/>
              <w:keepLines w:val="0"/>
              <w:widowControl/>
              <w:suppressLineNumbers w:val="0"/>
              <w:jc w:val="center"/>
              <w:textAlignment w:val="top"/>
              <w:rPr>
                <w:rFonts w:hint="eastAsia" w:asciiTheme="minorEastAsia" w:hAnsiTheme="minorEastAsia" w:eastAsiaTheme="minorEastAsia" w:cstheme="majorBidi"/>
                <w:b w:val="0"/>
                <w:bCs/>
                <w:kern w:val="2"/>
                <w:sz w:val="20"/>
                <w:szCs w:val="20"/>
                <w:lang w:val="en-US" w:eastAsia="zh-CN" w:bidi="ar-SA"/>
              </w:rPr>
            </w:pPr>
            <w:r>
              <w:rPr>
                <w:rFonts w:hint="eastAsia" w:asciiTheme="minorEastAsia" w:hAnsiTheme="minorEastAsia" w:eastAsiaTheme="minorEastAsia" w:cstheme="majorBidi"/>
                <w:b w:val="0"/>
                <w:bCs/>
                <w:kern w:val="2"/>
                <w:sz w:val="20"/>
                <w:szCs w:val="20"/>
                <w:lang w:val="en-US" w:eastAsia="zh-CN" w:bidi="ar-SA"/>
              </w:rPr>
              <w:t>1.47</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3549"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vAlign w:val="center"/>
          </w:tcPr>
          <w:p>
            <w:pPr>
              <w:keepNext w:val="0"/>
              <w:keepLines w:val="0"/>
              <w:widowControl/>
              <w:suppressLineNumbers w:val="0"/>
              <w:jc w:val="center"/>
              <w:textAlignment w:val="top"/>
              <w:rPr>
                <w:rFonts w:hint="eastAsia" w:asciiTheme="minorEastAsia" w:hAnsiTheme="minorEastAsia" w:eastAsiaTheme="minorEastAsia" w:cstheme="majorBidi"/>
                <w:b w:val="0"/>
                <w:bCs/>
                <w:kern w:val="2"/>
                <w:sz w:val="20"/>
                <w:szCs w:val="20"/>
                <w:lang w:val="en-US" w:eastAsia="zh-CN" w:bidi="ar-SA"/>
              </w:rPr>
            </w:pPr>
            <w:r>
              <w:rPr>
                <w:rFonts w:hint="eastAsia" w:asciiTheme="minorEastAsia" w:hAnsiTheme="minorEastAsia" w:eastAsiaTheme="minorEastAsia" w:cstheme="majorBidi"/>
                <w:b w:val="0"/>
                <w:bCs/>
                <w:kern w:val="2"/>
                <w:sz w:val="20"/>
                <w:szCs w:val="20"/>
                <w:lang w:val="en-US" w:eastAsia="zh-CN" w:bidi="ar-SA"/>
              </w:rPr>
              <w:t>制造业</w:t>
            </w:r>
          </w:p>
        </w:tc>
        <w:tc>
          <w:tcPr>
            <w:tcW w:w="1926"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vAlign w:val="center"/>
          </w:tcPr>
          <w:p>
            <w:pPr>
              <w:keepNext w:val="0"/>
              <w:keepLines w:val="0"/>
              <w:widowControl/>
              <w:suppressLineNumbers w:val="0"/>
              <w:jc w:val="center"/>
              <w:textAlignment w:val="top"/>
              <w:rPr>
                <w:rFonts w:hint="eastAsia" w:asciiTheme="minorEastAsia" w:hAnsiTheme="minorEastAsia" w:eastAsiaTheme="minorEastAsia" w:cstheme="majorBidi"/>
                <w:b w:val="0"/>
                <w:bCs/>
                <w:kern w:val="2"/>
                <w:sz w:val="20"/>
                <w:szCs w:val="20"/>
                <w:lang w:val="en-US" w:eastAsia="zh-CN" w:bidi="ar-SA"/>
              </w:rPr>
            </w:pPr>
            <w:r>
              <w:rPr>
                <w:rFonts w:hint="eastAsia" w:asciiTheme="minorEastAsia" w:hAnsiTheme="minorEastAsia" w:eastAsiaTheme="minorEastAsia" w:cstheme="majorBidi"/>
                <w:b w:val="0"/>
                <w:bCs/>
                <w:kern w:val="2"/>
                <w:sz w:val="20"/>
                <w:szCs w:val="20"/>
                <w:lang w:val="en-US" w:eastAsia="zh-CN" w:bidi="ar-SA"/>
              </w:rPr>
              <w:t>1</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D2EAF0"/>
            <w:vAlign w:val="center"/>
          </w:tcPr>
          <w:p>
            <w:pPr>
              <w:keepNext w:val="0"/>
              <w:keepLines w:val="0"/>
              <w:widowControl/>
              <w:suppressLineNumbers w:val="0"/>
              <w:jc w:val="center"/>
              <w:textAlignment w:val="top"/>
              <w:rPr>
                <w:rFonts w:hint="eastAsia" w:asciiTheme="minorEastAsia" w:hAnsiTheme="minorEastAsia" w:eastAsiaTheme="minorEastAsia" w:cstheme="majorBidi"/>
                <w:b w:val="0"/>
                <w:bCs/>
                <w:kern w:val="2"/>
                <w:sz w:val="20"/>
                <w:szCs w:val="20"/>
                <w:lang w:val="en-US" w:eastAsia="zh-CN" w:bidi="ar-SA"/>
              </w:rPr>
            </w:pPr>
            <w:r>
              <w:rPr>
                <w:rFonts w:hint="eastAsia" w:asciiTheme="minorEastAsia" w:hAnsiTheme="minorEastAsia" w:eastAsiaTheme="minorEastAsia" w:cstheme="majorBidi"/>
                <w:b w:val="0"/>
                <w:bCs/>
                <w:kern w:val="2"/>
                <w:sz w:val="20"/>
                <w:szCs w:val="20"/>
                <w:lang w:val="en-US" w:eastAsia="zh-CN" w:bidi="ar-SA"/>
              </w:rPr>
              <w:t>1.47</w:t>
            </w:r>
          </w:p>
        </w:tc>
      </w:tr>
      <w:tr>
        <w:tblPrEx>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Ex>
        <w:tc>
          <w:tcPr>
            <w:tcW w:w="3549" w:type="dxa"/>
            <w:tcBorders>
              <w:top w:val="single" w:color="4BACC6" w:themeColor="accent5" w:sz="8" w:space="0"/>
              <w:left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FFFFFF"/>
            <w:vAlign w:val="top"/>
          </w:tcPr>
          <w:p>
            <w:pPr>
              <w:jc w:val="center"/>
              <w:rPr>
                <w:rFonts w:hint="eastAsia" w:asciiTheme="minorEastAsia" w:hAnsiTheme="minorEastAsia" w:eastAsiaTheme="minorEastAsia" w:cstheme="majorBidi"/>
                <w:b w:val="0"/>
                <w:bCs/>
                <w:kern w:val="2"/>
                <w:sz w:val="20"/>
                <w:szCs w:val="20"/>
                <w:lang w:val="en-US" w:eastAsia="zh-CN" w:bidi="ar-SA"/>
              </w:rPr>
            </w:pPr>
            <w:r>
              <w:rPr>
                <w:rFonts w:hint="eastAsia" w:asciiTheme="minorEastAsia" w:hAnsiTheme="minorEastAsia" w:eastAsiaTheme="minorEastAsia" w:cstheme="majorBidi"/>
                <w:b/>
                <w:bCs w:val="0"/>
                <w:sz w:val="20"/>
                <w:szCs w:val="20"/>
                <w:lang w:val="en-US" w:eastAsia="zh-CN"/>
              </w:rPr>
              <w:t>总计</w:t>
            </w:r>
          </w:p>
        </w:tc>
        <w:tc>
          <w:tcPr>
            <w:tcW w:w="1926"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FFFFFF"/>
            <w:vAlign w:val="top"/>
          </w:tcPr>
          <w:p>
            <w:pPr>
              <w:jc w:val="center"/>
              <w:rPr>
                <w:rFonts w:hint="default" w:cs="Times New Roman" w:asciiTheme="minorEastAsia" w:hAnsiTheme="minorEastAsia" w:eastAsiaTheme="minorEastAsia"/>
                <w:b/>
                <w:bCs/>
                <w:kern w:val="2"/>
                <w:sz w:val="20"/>
                <w:szCs w:val="20"/>
                <w:lang w:val="en-US" w:eastAsia="zh-CN" w:bidi="ar-SA"/>
              </w:rPr>
            </w:pPr>
            <w:r>
              <w:rPr>
                <w:rFonts w:hint="eastAsia" w:cs="Times New Roman" w:asciiTheme="minorEastAsia" w:hAnsiTheme="minorEastAsia" w:eastAsiaTheme="minorEastAsia"/>
                <w:b/>
                <w:bCs/>
                <w:kern w:val="2"/>
                <w:sz w:val="20"/>
                <w:szCs w:val="20"/>
                <w:lang w:val="en-US" w:eastAsia="zh-CN" w:bidi="ar-SA"/>
              </w:rPr>
              <w:t>68</w:t>
            </w:r>
          </w:p>
        </w:tc>
        <w:tc>
          <w:tcPr>
            <w:tcW w:w="2550" w:type="dxa"/>
            <w:tcBorders>
              <w:top w:val="single" w:color="4BACC6" w:themeColor="accent5" w:sz="8" w:space="0"/>
              <w:bottom w:val="single" w:color="4BACC6" w:themeColor="accent5" w:sz="8" w:space="0"/>
              <w:right w:val="single" w:color="4BACC6" w:themeColor="accent5" w:sz="8" w:space="0"/>
              <w:insideH w:val="single" w:sz="8" w:space="0"/>
              <w:insideV w:val="single" w:sz="8" w:space="0"/>
            </w:tcBorders>
            <w:shd w:val="clear" w:color="auto" w:fill="FFFFFF"/>
            <w:vAlign w:val="top"/>
          </w:tcPr>
          <w:p>
            <w:pPr>
              <w:jc w:val="center"/>
              <w:rPr>
                <w:rFonts w:hint="eastAsia" w:cs="Times New Roman" w:asciiTheme="minorEastAsia" w:hAnsiTheme="minorEastAsia" w:eastAsiaTheme="minorEastAsia"/>
                <w:b/>
                <w:bCs/>
                <w:kern w:val="2"/>
                <w:sz w:val="20"/>
                <w:szCs w:val="20"/>
                <w:highlight w:val="none"/>
                <w:lang w:val="en-US" w:eastAsia="zh-CN" w:bidi="ar-SA"/>
              </w:rPr>
            </w:pPr>
            <w:r>
              <w:rPr>
                <w:rFonts w:hint="eastAsia" w:asciiTheme="minorEastAsia" w:hAnsiTheme="minorEastAsia" w:eastAsiaTheme="minorEastAsia"/>
                <w:b/>
                <w:bCs/>
                <w:sz w:val="20"/>
                <w:szCs w:val="20"/>
                <w:highlight w:val="none"/>
                <w:lang w:val="en-US" w:eastAsia="zh-CN"/>
              </w:rPr>
              <w:t>100.00</w:t>
            </w:r>
          </w:p>
        </w:tc>
      </w:tr>
    </w:tbl>
    <w:p>
      <w:pPr>
        <w:numPr>
          <w:ilvl w:val="0"/>
          <w:numId w:val="0"/>
        </w:numPr>
        <w:ind w:leftChars="0"/>
        <w:jc w:val="left"/>
        <w:rPr>
          <w:rFonts w:hint="eastAsia"/>
          <w:sz w:val="28"/>
          <w:szCs w:val="28"/>
          <w:lang w:val="en-US" w:eastAsia="zh-CN"/>
        </w:rPr>
      </w:pPr>
    </w:p>
    <w:p>
      <w:pPr>
        <w:numPr>
          <w:ilvl w:val="0"/>
          <w:numId w:val="0"/>
        </w:numPr>
        <w:ind w:leftChars="0"/>
        <w:jc w:val="left"/>
        <w:rPr>
          <w:rFonts w:hint="eastAsia"/>
          <w:sz w:val="28"/>
          <w:szCs w:val="28"/>
          <w:lang w:val="en-US" w:eastAsia="zh-CN"/>
        </w:rPr>
      </w:pPr>
      <w:r>
        <w:rPr>
          <w:rFonts w:hint="eastAsia"/>
          <w:sz w:val="28"/>
          <w:szCs w:val="28"/>
          <w:lang w:val="en-US" w:eastAsia="zh-CN"/>
        </w:rPr>
        <w:t>（二）毕业生创业的原因分析</w:t>
      </w:r>
    </w:p>
    <w:p>
      <w:pPr>
        <w:numPr>
          <w:ilvl w:val="0"/>
          <w:numId w:val="0"/>
        </w:numPr>
        <w:ind w:leftChars="0" w:firstLine="560"/>
        <w:jc w:val="left"/>
        <w:rPr>
          <w:rFonts w:hint="eastAsia"/>
          <w:sz w:val="28"/>
          <w:szCs w:val="28"/>
          <w:lang w:val="en-US" w:eastAsia="zh-CN"/>
        </w:rPr>
      </w:pPr>
      <w:r>
        <w:rPr>
          <w:rFonts w:hint="eastAsia"/>
          <w:sz w:val="28"/>
          <w:szCs w:val="28"/>
          <w:lang w:val="en-US" w:eastAsia="zh-CN"/>
        </w:rPr>
        <w:t>调研数据显示，2023届毕业生自主创业的首要原因是“实现个人理想及价值”，占比56.94%；其次有30.56%的毕业生是因为“预期可能有更高收入”，有16.67%的毕业生是因为“有好的创业项目”。此外，因为“受他人邀请创业”、“未找到合适的工作”原因而创业的毕业生分别占比13.89%、11.11%。这表明，当前大学毕业生创业的首要原因是实现理想。</w:t>
      </w:r>
    </w:p>
    <w:p>
      <w:pPr>
        <w:numPr>
          <w:ilvl w:val="0"/>
          <w:numId w:val="0"/>
        </w:numPr>
        <w:ind w:leftChars="0" w:firstLine="560"/>
        <w:jc w:val="left"/>
        <w:rPr>
          <w:rFonts w:hint="eastAsia"/>
          <w:sz w:val="28"/>
          <w:szCs w:val="28"/>
          <w:lang w:val="en-US" w:eastAsia="zh-CN"/>
        </w:rPr>
      </w:pPr>
      <w:r>
        <w:rPr>
          <w:rFonts w:hint="eastAsia"/>
          <w:sz w:val="28"/>
          <w:szCs w:val="28"/>
          <w:lang w:val="en-US" w:eastAsia="zh-CN"/>
        </w:rPr>
        <w:drawing>
          <wp:inline distT="0" distB="0" distL="114300" distR="114300">
            <wp:extent cx="5247005" cy="1864360"/>
            <wp:effectExtent l="4445" t="4445" r="6350" b="17145"/>
            <wp:docPr id="76" name="图表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pPr>
        <w:ind w:firstLine="400" w:firstLineChars="200"/>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图</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5</w:t>
      </w:r>
      <w:r>
        <w:rPr>
          <w:rFonts w:asciiTheme="minorEastAsia" w:hAnsiTheme="minorEastAsia" w:eastAsiaTheme="minorEastAsia"/>
          <w:sz w:val="20"/>
          <w:szCs w:val="20"/>
          <w:lang w:val="ru-RU"/>
        </w:rPr>
        <w:t>-</w:t>
      </w:r>
      <w:r>
        <w:rPr>
          <w:rFonts w:hint="eastAsia" w:asciiTheme="minorEastAsia" w:hAnsiTheme="minorEastAsia" w:eastAsiaTheme="minorEastAsia"/>
          <w:sz w:val="20"/>
          <w:szCs w:val="20"/>
          <w:lang w:val="en-US" w:eastAsia="zh-CN"/>
        </w:rPr>
        <w:t>1  2023届毕业生自主创业的原因</w:t>
      </w:r>
    </w:p>
    <w:p>
      <w:pPr>
        <w:pStyle w:val="6"/>
        <w:rPr>
          <w:rFonts w:hint="eastAsia"/>
          <w:lang w:val="en-US" w:eastAsia="zh-CN"/>
        </w:rPr>
      </w:pPr>
    </w:p>
    <w:p>
      <w:pPr>
        <w:numPr>
          <w:ilvl w:val="0"/>
          <w:numId w:val="0"/>
        </w:numPr>
        <w:ind w:leftChars="0"/>
        <w:jc w:val="left"/>
        <w:rPr>
          <w:rFonts w:hint="eastAsia"/>
          <w:sz w:val="28"/>
          <w:szCs w:val="28"/>
          <w:lang w:val="en-US" w:eastAsia="zh-CN"/>
        </w:rPr>
      </w:pPr>
      <w:r>
        <w:rPr>
          <w:rFonts w:hint="eastAsia"/>
          <w:sz w:val="28"/>
          <w:szCs w:val="28"/>
          <w:lang w:val="en-US" w:eastAsia="zh-CN"/>
        </w:rPr>
        <w:t>（三）毕业生创业类型</w:t>
      </w:r>
    </w:p>
    <w:p>
      <w:pPr>
        <w:numPr>
          <w:ilvl w:val="0"/>
          <w:numId w:val="0"/>
        </w:numPr>
        <w:ind w:leftChars="0"/>
        <w:jc w:val="left"/>
        <w:rPr>
          <w:rFonts w:hint="eastAsia"/>
          <w:sz w:val="28"/>
          <w:szCs w:val="28"/>
          <w:lang w:val="en-US" w:eastAsia="zh-CN"/>
        </w:rPr>
      </w:pPr>
      <w:r>
        <w:rPr>
          <w:rFonts w:hint="eastAsia"/>
          <w:sz w:val="28"/>
          <w:szCs w:val="28"/>
          <w:lang w:val="en-US" w:eastAsia="zh-CN"/>
        </w:rPr>
        <w:t xml:space="preserve">    调研数据显示，2023届毕业生创业的主要方式是“个人独立创业”（45.83%）和“与人合伙创业（参与项目团队创业）”（29.17%）；创业的主要类型是“在独立的场地创立公司（含个体工商户）”（36.11%）和“其他”（36.11%）。</w:t>
      </w:r>
    </w:p>
    <w:p>
      <w:pPr>
        <w:numPr>
          <w:ilvl w:val="0"/>
          <w:numId w:val="0"/>
        </w:numPr>
        <w:ind w:leftChars="0"/>
        <w:jc w:val="left"/>
        <w:rPr>
          <w:rFonts w:hint="default"/>
          <w:sz w:val="28"/>
          <w:szCs w:val="28"/>
          <w:lang w:val="en-US" w:eastAsia="zh-CN"/>
        </w:rPr>
      </w:pPr>
      <w:r>
        <w:rPr>
          <w:rFonts w:hint="eastAsia"/>
          <w:sz w:val="28"/>
          <w:szCs w:val="28"/>
          <w:lang w:val="en-US" w:eastAsia="zh-CN"/>
        </w:rPr>
        <w:t xml:space="preserve"> </w:t>
      </w:r>
      <w:r>
        <w:rPr>
          <w:rFonts w:hint="default"/>
          <w:sz w:val="28"/>
          <w:szCs w:val="28"/>
          <w:lang w:val="en-US" w:eastAsia="zh-CN"/>
        </w:rPr>
        <w:drawing>
          <wp:inline distT="0" distB="0" distL="114300" distR="114300">
            <wp:extent cx="2254885" cy="2381250"/>
            <wp:effectExtent l="4445" t="4445" r="7620" b="14605"/>
            <wp:docPr id="42" name="图表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Pr>
          <w:rFonts w:hint="default"/>
          <w:sz w:val="28"/>
          <w:szCs w:val="28"/>
          <w:lang w:val="en-US" w:eastAsia="zh-CN"/>
        </w:rPr>
        <w:drawing>
          <wp:inline distT="0" distB="0" distL="114300" distR="114300">
            <wp:extent cx="2843530" cy="2389505"/>
            <wp:effectExtent l="4445" t="4445" r="9525" b="6350"/>
            <wp:docPr id="46" name="图表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pPr>
        <w:ind w:firstLine="400" w:firstLineChars="200"/>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图</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5</w:t>
      </w:r>
      <w:r>
        <w:rPr>
          <w:rFonts w:asciiTheme="minorEastAsia" w:hAnsiTheme="minorEastAsia" w:eastAsiaTheme="minorEastAsia"/>
          <w:sz w:val="20"/>
          <w:szCs w:val="20"/>
          <w:lang w:val="ru-RU"/>
        </w:rPr>
        <w:t>-</w:t>
      </w:r>
      <w:r>
        <w:rPr>
          <w:rFonts w:hint="eastAsia" w:asciiTheme="minorEastAsia" w:hAnsiTheme="minorEastAsia" w:eastAsiaTheme="minorEastAsia"/>
          <w:sz w:val="20"/>
          <w:szCs w:val="20"/>
          <w:lang w:val="en-US" w:eastAsia="zh-CN"/>
        </w:rPr>
        <w:t>2  2023届毕业生自主创业的方式和类型</w:t>
      </w:r>
    </w:p>
    <w:p>
      <w:pPr>
        <w:pStyle w:val="6"/>
        <w:rPr>
          <w:rFonts w:hint="eastAsia"/>
          <w:lang w:val="ru-RU" w:eastAsia="zh-CN"/>
        </w:rPr>
      </w:pPr>
    </w:p>
    <w:p>
      <w:pPr>
        <w:numPr>
          <w:ilvl w:val="0"/>
          <w:numId w:val="0"/>
        </w:numPr>
        <w:ind w:leftChars="0"/>
        <w:jc w:val="left"/>
        <w:rPr>
          <w:rFonts w:hint="eastAsia"/>
          <w:sz w:val="28"/>
          <w:szCs w:val="28"/>
          <w:lang w:val="en-US" w:eastAsia="zh-CN"/>
        </w:rPr>
      </w:pPr>
      <w:r>
        <w:rPr>
          <w:rFonts w:hint="eastAsia"/>
          <w:sz w:val="28"/>
          <w:szCs w:val="28"/>
          <w:lang w:val="en-US" w:eastAsia="zh-CN"/>
        </w:rPr>
        <w:t>（四）毕业生创业资金来源</w:t>
      </w:r>
    </w:p>
    <w:p>
      <w:pPr>
        <w:numPr>
          <w:ilvl w:val="0"/>
          <w:numId w:val="0"/>
        </w:numPr>
        <w:ind w:leftChars="0" w:firstLine="560"/>
        <w:jc w:val="left"/>
        <w:rPr>
          <w:rFonts w:hint="eastAsia" w:ascii="宋体" w:hAnsi="宋体" w:cs="宋体"/>
          <w:sz w:val="24"/>
          <w:szCs w:val="24"/>
          <w:lang w:val="en-US" w:eastAsia="zh-CN"/>
        </w:rPr>
      </w:pPr>
      <w:r>
        <w:rPr>
          <w:rFonts w:hint="eastAsia"/>
          <w:sz w:val="28"/>
          <w:szCs w:val="28"/>
          <w:lang w:val="en-US" w:eastAsia="zh-CN"/>
        </w:rPr>
        <w:t>调研数据显示，毕业生创业资金主要来源于“个人积累”，占比48.61%。排在第二、三位的分别是“父母资助”（23.61%）、“其他”（15.28%）。</w:t>
      </w:r>
      <w:r>
        <w:rPr>
          <w:rFonts w:hint="eastAsia" w:ascii="宋体" w:hAnsi="宋体" w:cs="宋体"/>
          <w:sz w:val="24"/>
          <w:szCs w:val="24"/>
          <w:lang w:val="en-US" w:eastAsia="zh-CN"/>
        </w:rPr>
        <w:t xml:space="preserve">            </w:t>
      </w:r>
    </w:p>
    <w:p>
      <w:pPr>
        <w:numPr>
          <w:ilvl w:val="0"/>
          <w:numId w:val="0"/>
        </w:numPr>
        <w:ind w:leftChars="0" w:firstLine="560"/>
        <w:jc w:val="left"/>
        <w:rPr>
          <w:rFonts w:hint="eastAsia" w:eastAsia="宋体"/>
          <w:sz w:val="28"/>
          <w:szCs w:val="28"/>
          <w:lang w:val="ru-RU" w:eastAsia="zh-CN"/>
        </w:rPr>
      </w:pPr>
      <w:r>
        <w:rPr>
          <w:rFonts w:hint="eastAsia" w:eastAsia="宋体"/>
          <w:sz w:val="28"/>
          <w:szCs w:val="28"/>
          <w:lang w:val="ru-RU" w:eastAsia="zh-CN"/>
        </w:rPr>
        <w:drawing>
          <wp:inline distT="0" distB="0" distL="114300" distR="114300">
            <wp:extent cx="4923790" cy="2235835"/>
            <wp:effectExtent l="4445" t="4445" r="5715" b="762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pPr>
        <w:ind w:firstLine="400" w:firstLineChars="200"/>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图</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5</w:t>
      </w:r>
      <w:r>
        <w:rPr>
          <w:rFonts w:asciiTheme="minorEastAsia" w:hAnsiTheme="minorEastAsia" w:eastAsiaTheme="minorEastAsia"/>
          <w:sz w:val="20"/>
          <w:szCs w:val="20"/>
          <w:lang w:val="ru-RU"/>
        </w:rPr>
        <w:t>-</w:t>
      </w:r>
      <w:r>
        <w:rPr>
          <w:rFonts w:hint="eastAsia" w:asciiTheme="minorEastAsia" w:hAnsiTheme="minorEastAsia" w:eastAsiaTheme="minorEastAsia"/>
          <w:sz w:val="20"/>
          <w:szCs w:val="20"/>
          <w:lang w:val="en-US" w:eastAsia="zh-CN"/>
        </w:rPr>
        <w:t>3  2023届毕业生自主创业资金来源</w:t>
      </w:r>
    </w:p>
    <w:p>
      <w:pPr>
        <w:pStyle w:val="6"/>
        <w:rPr>
          <w:rFonts w:hint="eastAsia"/>
          <w:lang w:val="ru-RU" w:eastAsia="zh-CN"/>
        </w:rPr>
      </w:pPr>
    </w:p>
    <w:p>
      <w:pPr>
        <w:numPr>
          <w:ilvl w:val="0"/>
          <w:numId w:val="0"/>
        </w:numPr>
        <w:ind w:leftChars="0"/>
        <w:jc w:val="left"/>
        <w:rPr>
          <w:rFonts w:hint="default"/>
          <w:sz w:val="28"/>
          <w:szCs w:val="28"/>
          <w:lang w:val="en-US" w:eastAsia="zh-CN"/>
        </w:rPr>
      </w:pPr>
      <w:r>
        <w:rPr>
          <w:rFonts w:hint="eastAsia"/>
          <w:sz w:val="28"/>
          <w:szCs w:val="28"/>
          <w:lang w:val="en-US" w:eastAsia="zh-CN"/>
        </w:rPr>
        <w:t>（五）毕业生创业支持情况</w:t>
      </w:r>
    </w:p>
    <w:p>
      <w:pPr>
        <w:ind w:firstLine="560"/>
        <w:jc w:val="left"/>
        <w:rPr>
          <w:rFonts w:hint="eastAsia" w:asciiTheme="minorEastAsia" w:hAnsiTheme="minorEastAsia" w:eastAsiaTheme="minorEastAsia"/>
          <w:sz w:val="20"/>
          <w:szCs w:val="20"/>
          <w:lang w:val="en-US" w:eastAsia="zh-CN"/>
        </w:rPr>
      </w:pPr>
      <w:r>
        <w:rPr>
          <w:rFonts w:hint="eastAsia"/>
          <w:sz w:val="28"/>
          <w:szCs w:val="28"/>
          <w:lang w:val="en-US" w:eastAsia="zh-CN"/>
        </w:rPr>
        <w:t>调研数据显示，毕业生家庭对毕业生创业的支持度达到95.83%，其中表示“非常支持”的占到34.72%。</w:t>
      </w:r>
    </w:p>
    <w:p>
      <w:pPr>
        <w:ind w:firstLine="400" w:firstLineChars="200"/>
        <w:jc w:val="center"/>
        <w:rPr>
          <w:rFonts w:hint="default"/>
          <w:sz w:val="28"/>
          <w:szCs w:val="28"/>
          <w:lang w:val="en-US" w:eastAsia="zh-CN"/>
        </w:rPr>
      </w:pPr>
      <w:r>
        <w:rPr>
          <w:rFonts w:hint="eastAsia" w:asciiTheme="minorEastAsia" w:hAnsiTheme="minorEastAsia" w:eastAsiaTheme="minorEastAsia"/>
          <w:sz w:val="20"/>
          <w:szCs w:val="20"/>
          <w:lang w:val="en-US" w:eastAsia="zh-CN"/>
        </w:rPr>
        <w:t>图</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5</w:t>
      </w:r>
      <w:r>
        <w:rPr>
          <w:rFonts w:asciiTheme="minorEastAsia" w:hAnsiTheme="minorEastAsia" w:eastAsiaTheme="minorEastAsia"/>
          <w:sz w:val="20"/>
          <w:szCs w:val="20"/>
          <w:lang w:val="ru-RU"/>
        </w:rPr>
        <w:t>-</w:t>
      </w:r>
      <w:r>
        <w:rPr>
          <w:rFonts w:hint="eastAsia" w:asciiTheme="minorEastAsia" w:hAnsiTheme="minorEastAsia" w:eastAsiaTheme="minorEastAsia"/>
          <w:sz w:val="20"/>
          <w:szCs w:val="20"/>
          <w:lang w:val="en-US" w:eastAsia="zh-CN"/>
        </w:rPr>
        <w:t>4  2023届毕业生家庭对其创业的态度</w:t>
      </w:r>
    </w:p>
    <w:p>
      <w:pPr>
        <w:ind w:firstLine="560"/>
        <w:jc w:val="left"/>
        <w:rPr>
          <w:rFonts w:hint="default"/>
          <w:sz w:val="28"/>
          <w:szCs w:val="28"/>
          <w:lang w:val="en-US" w:eastAsia="zh-CN"/>
        </w:rPr>
      </w:pPr>
      <w:r>
        <w:rPr>
          <w:rFonts w:hint="eastAsia"/>
          <w:sz w:val="28"/>
          <w:szCs w:val="28"/>
          <w:lang w:val="en-US" w:eastAsia="zh-CN"/>
        </w:rPr>
        <w:t xml:space="preserve">   </w:t>
      </w:r>
      <w:r>
        <w:rPr>
          <w:rFonts w:hint="default"/>
          <w:sz w:val="28"/>
          <w:szCs w:val="28"/>
          <w:lang w:val="en-US" w:eastAsia="zh-CN"/>
        </w:rPr>
        <w:drawing>
          <wp:inline distT="0" distB="0" distL="114300" distR="114300">
            <wp:extent cx="4548505" cy="2801620"/>
            <wp:effectExtent l="4445" t="4445" r="19050" b="13335"/>
            <wp:docPr id="60" name="图表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pPr>
        <w:jc w:val="left"/>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注：创业支持度=非常支持+比较支持+中立，不反对</w:t>
      </w:r>
    </w:p>
    <w:p>
      <w:pPr>
        <w:pStyle w:val="6"/>
        <w:rPr>
          <w:rFonts w:hint="eastAsia"/>
          <w:lang w:val="en-US" w:eastAsia="zh-CN"/>
        </w:rPr>
      </w:pPr>
    </w:p>
    <w:p>
      <w:pPr>
        <w:numPr>
          <w:ilvl w:val="0"/>
          <w:numId w:val="0"/>
        </w:numPr>
        <w:ind w:leftChars="0"/>
        <w:jc w:val="left"/>
        <w:rPr>
          <w:rFonts w:hint="default"/>
          <w:sz w:val="28"/>
          <w:szCs w:val="28"/>
          <w:lang w:val="en-US" w:eastAsia="zh-CN"/>
        </w:rPr>
      </w:pPr>
      <w:r>
        <w:rPr>
          <w:rFonts w:hint="eastAsia"/>
          <w:sz w:val="28"/>
          <w:szCs w:val="28"/>
          <w:lang w:val="en-US" w:eastAsia="zh-CN"/>
        </w:rPr>
        <w:t>（六）毕业生创业准备</w:t>
      </w:r>
    </w:p>
    <w:p>
      <w:pPr>
        <w:ind w:firstLine="560" w:firstLineChars="200"/>
        <w:jc w:val="left"/>
        <w:rPr>
          <w:rFonts w:hint="eastAsia"/>
          <w:sz w:val="28"/>
          <w:szCs w:val="28"/>
          <w:lang w:val="en-US" w:eastAsia="zh-CN"/>
        </w:rPr>
      </w:pPr>
      <w:r>
        <w:rPr>
          <w:rFonts w:hint="eastAsia"/>
          <w:sz w:val="28"/>
          <w:szCs w:val="28"/>
          <w:lang w:val="en-US" w:eastAsia="zh-CN"/>
        </w:rPr>
        <w:t>调研数据显示，2023届毕业生创业前做的准备工作主要是“在社会实践中积累经验”（56.94%）、“向成功创业者学习”（47.22%）、“多和朋友沟通，整合身边资源”（36.11%）。</w:t>
      </w:r>
    </w:p>
    <w:p>
      <w:pPr>
        <w:ind w:firstLine="400" w:firstLineChars="200"/>
        <w:jc w:val="center"/>
        <w:rPr>
          <w:rFonts w:hint="default"/>
          <w:sz w:val="28"/>
          <w:szCs w:val="28"/>
          <w:lang w:val="en-US" w:eastAsia="zh-CN"/>
        </w:rPr>
      </w:pPr>
      <w:r>
        <w:rPr>
          <w:rFonts w:hint="eastAsia" w:asciiTheme="minorEastAsia" w:hAnsiTheme="minorEastAsia" w:eastAsiaTheme="minorEastAsia"/>
          <w:sz w:val="20"/>
          <w:szCs w:val="20"/>
          <w:lang w:val="en-US" w:eastAsia="zh-CN"/>
        </w:rPr>
        <w:t>图</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5</w:t>
      </w:r>
      <w:r>
        <w:rPr>
          <w:rFonts w:asciiTheme="minorEastAsia" w:hAnsiTheme="minorEastAsia" w:eastAsiaTheme="minorEastAsia"/>
          <w:sz w:val="20"/>
          <w:szCs w:val="20"/>
          <w:lang w:val="ru-RU"/>
        </w:rPr>
        <w:t>-</w:t>
      </w:r>
      <w:r>
        <w:rPr>
          <w:rFonts w:hint="eastAsia" w:asciiTheme="minorEastAsia" w:hAnsiTheme="minorEastAsia" w:eastAsiaTheme="minorEastAsia"/>
          <w:sz w:val="20"/>
          <w:szCs w:val="20"/>
          <w:lang w:val="en-US" w:eastAsia="zh-CN"/>
        </w:rPr>
        <w:t>5  2023届毕业生创业做过的准备（多选题）</w:t>
      </w:r>
    </w:p>
    <w:p>
      <w:pPr>
        <w:ind w:firstLine="560" w:firstLineChars="200"/>
        <w:jc w:val="left"/>
        <w:rPr>
          <w:rFonts w:hint="eastAsia"/>
          <w:sz w:val="28"/>
          <w:szCs w:val="28"/>
          <w:lang w:val="en-US" w:eastAsia="zh-CN"/>
        </w:rPr>
      </w:pPr>
      <w:r>
        <w:rPr>
          <w:rFonts w:hint="eastAsia"/>
          <w:sz w:val="28"/>
          <w:szCs w:val="28"/>
          <w:lang w:val="en-US" w:eastAsia="zh-CN"/>
        </w:rPr>
        <w:drawing>
          <wp:inline distT="0" distB="0" distL="114300" distR="114300">
            <wp:extent cx="5008880" cy="2338705"/>
            <wp:effectExtent l="4445" t="4445" r="15875" b="19050"/>
            <wp:docPr id="65" name="图表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pPr>
        <w:pStyle w:val="6"/>
        <w:rPr>
          <w:rFonts w:hint="eastAsia"/>
          <w:lang w:val="en-US" w:eastAsia="zh-CN"/>
        </w:rPr>
      </w:pPr>
    </w:p>
    <w:p>
      <w:pPr>
        <w:numPr>
          <w:ilvl w:val="0"/>
          <w:numId w:val="0"/>
        </w:numPr>
        <w:ind w:leftChars="0"/>
        <w:jc w:val="left"/>
        <w:rPr>
          <w:rFonts w:hint="default"/>
          <w:sz w:val="28"/>
          <w:szCs w:val="28"/>
          <w:lang w:val="en-US" w:eastAsia="zh-CN"/>
        </w:rPr>
      </w:pPr>
      <w:r>
        <w:rPr>
          <w:rFonts w:hint="eastAsia"/>
          <w:sz w:val="28"/>
          <w:szCs w:val="28"/>
          <w:lang w:val="en-US" w:eastAsia="zh-CN"/>
        </w:rPr>
        <w:t>（七）毕业生创业主要困难</w:t>
      </w:r>
    </w:p>
    <w:p>
      <w:pPr>
        <w:ind w:firstLine="560" w:firstLineChars="200"/>
        <w:jc w:val="left"/>
        <w:rPr>
          <w:rFonts w:hint="eastAsia"/>
          <w:sz w:val="28"/>
          <w:szCs w:val="28"/>
          <w:lang w:val="en-US" w:eastAsia="zh-CN"/>
        </w:rPr>
      </w:pPr>
      <w:r>
        <w:rPr>
          <w:rFonts w:hint="eastAsia"/>
          <w:sz w:val="28"/>
          <w:szCs w:val="28"/>
          <w:lang w:val="en-US" w:eastAsia="zh-CN"/>
        </w:rPr>
        <w:t>调研数据显示，大学生创业过程中遇到的困难主要有“资金筹备”（44.44%）、“市场推广”（22.22%）和“其他”（22.22%）。</w:t>
      </w:r>
    </w:p>
    <w:p>
      <w:pPr>
        <w:ind w:firstLine="400" w:firstLineChars="200"/>
        <w:jc w:val="center"/>
        <w:rPr>
          <w:rFonts w:hint="eastAsia"/>
          <w:sz w:val="28"/>
          <w:szCs w:val="28"/>
          <w:lang w:val="en-US" w:eastAsia="zh-CN"/>
        </w:rPr>
      </w:pPr>
      <w:r>
        <w:rPr>
          <w:rFonts w:hint="eastAsia" w:asciiTheme="minorEastAsia" w:hAnsiTheme="minorEastAsia" w:eastAsiaTheme="minorEastAsia"/>
          <w:sz w:val="20"/>
          <w:szCs w:val="20"/>
          <w:lang w:val="en-US" w:eastAsia="zh-CN"/>
        </w:rPr>
        <w:t>图</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5</w:t>
      </w:r>
      <w:r>
        <w:rPr>
          <w:rFonts w:asciiTheme="minorEastAsia" w:hAnsiTheme="minorEastAsia" w:eastAsiaTheme="minorEastAsia"/>
          <w:sz w:val="20"/>
          <w:szCs w:val="20"/>
          <w:lang w:val="ru-RU"/>
        </w:rPr>
        <w:t>-</w:t>
      </w:r>
      <w:r>
        <w:rPr>
          <w:rFonts w:hint="eastAsia" w:asciiTheme="minorEastAsia" w:hAnsiTheme="minorEastAsia" w:eastAsiaTheme="minorEastAsia"/>
          <w:sz w:val="20"/>
          <w:szCs w:val="20"/>
          <w:lang w:val="en-US" w:eastAsia="zh-CN"/>
        </w:rPr>
        <w:t>6  2023届毕业生创业中遇到的困难（多选题）</w:t>
      </w:r>
    </w:p>
    <w:p>
      <w:pPr>
        <w:ind w:firstLine="560" w:firstLineChars="200"/>
        <w:jc w:val="left"/>
        <w:rPr>
          <w:rFonts w:hint="default"/>
          <w:sz w:val="28"/>
          <w:szCs w:val="28"/>
          <w:lang w:val="en-US" w:eastAsia="zh-CN"/>
        </w:rPr>
      </w:pPr>
      <w:r>
        <w:rPr>
          <w:rFonts w:hint="default"/>
          <w:sz w:val="28"/>
          <w:szCs w:val="28"/>
          <w:lang w:val="en-US" w:eastAsia="zh-CN"/>
        </w:rPr>
        <w:drawing>
          <wp:inline distT="0" distB="0" distL="114300" distR="114300">
            <wp:extent cx="5932170" cy="2508250"/>
            <wp:effectExtent l="4445" t="4445" r="6985" b="20955"/>
            <wp:docPr id="80" name="图表 80"/>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pPr>
        <w:pStyle w:val="6"/>
        <w:rPr>
          <w:rFonts w:hint="default"/>
          <w:lang w:val="en-US" w:eastAsia="zh-CN"/>
        </w:rPr>
      </w:pPr>
    </w:p>
    <w:p>
      <w:pPr>
        <w:numPr>
          <w:ilvl w:val="0"/>
          <w:numId w:val="0"/>
        </w:numPr>
        <w:jc w:val="left"/>
        <w:rPr>
          <w:rFonts w:hint="eastAsia"/>
          <w:sz w:val="28"/>
          <w:szCs w:val="28"/>
          <w:highlight w:val="none"/>
          <w:lang w:val="en-US" w:eastAsia="zh-CN"/>
        </w:rPr>
      </w:pPr>
      <w:r>
        <w:rPr>
          <w:rFonts w:hint="eastAsia"/>
          <w:sz w:val="28"/>
          <w:szCs w:val="28"/>
          <w:highlight w:val="none"/>
          <w:lang w:val="en-US" w:eastAsia="zh-CN"/>
        </w:rPr>
        <w:t>（八）疫情常态化对创业的影响</w:t>
      </w:r>
    </w:p>
    <w:p>
      <w:pPr>
        <w:numPr>
          <w:ilvl w:val="0"/>
          <w:numId w:val="0"/>
        </w:numPr>
        <w:ind w:firstLine="560" w:firstLineChars="200"/>
        <w:jc w:val="left"/>
        <w:rPr>
          <w:rFonts w:hint="default"/>
          <w:lang w:val="en-US" w:eastAsia="zh-CN"/>
        </w:rPr>
      </w:pPr>
      <w:r>
        <w:rPr>
          <w:rFonts w:hint="eastAsia"/>
          <w:sz w:val="28"/>
          <w:szCs w:val="28"/>
          <w:lang w:val="en-US" w:eastAsia="zh-CN"/>
        </w:rPr>
        <w:t>调研数据显示，91.30%的毕业生认为疫情常态化对其创业有影响。</w:t>
      </w:r>
    </w:p>
    <w:p>
      <w:pPr>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图</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5</w:t>
      </w:r>
      <w:r>
        <w:rPr>
          <w:rFonts w:asciiTheme="minorEastAsia" w:hAnsiTheme="minorEastAsia" w:eastAsiaTheme="minorEastAsia"/>
          <w:sz w:val="20"/>
          <w:szCs w:val="20"/>
          <w:lang w:val="ru-RU"/>
        </w:rPr>
        <w:t>-</w:t>
      </w:r>
      <w:r>
        <w:rPr>
          <w:rFonts w:hint="eastAsia" w:asciiTheme="minorEastAsia" w:hAnsiTheme="minorEastAsia" w:eastAsiaTheme="minorEastAsia"/>
          <w:sz w:val="20"/>
          <w:szCs w:val="20"/>
          <w:lang w:val="en-US" w:eastAsia="zh-CN"/>
        </w:rPr>
        <w:t xml:space="preserve">7  </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 xml:space="preserve">疫情常态化对2023届毕业生创业的影响  </w:t>
      </w:r>
      <w:r>
        <w:rPr>
          <w:rFonts w:hint="eastAsia" w:asciiTheme="minorEastAsia" w:hAnsiTheme="minorEastAsia" w:eastAsiaTheme="minorEastAsia"/>
          <w:sz w:val="20"/>
          <w:szCs w:val="20"/>
          <w:lang w:val="en-US" w:eastAsia="zh-CN"/>
        </w:rPr>
        <w:drawing>
          <wp:inline distT="0" distB="0" distL="114300" distR="114300">
            <wp:extent cx="3296285" cy="2360295"/>
            <wp:effectExtent l="4445" t="4445" r="13970" b="1651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pPr>
        <w:pStyle w:val="6"/>
        <w:rPr>
          <w:rFonts w:hint="eastAsia"/>
          <w:lang w:val="en-US" w:eastAsia="zh-CN"/>
        </w:rPr>
      </w:pPr>
    </w:p>
    <w:p>
      <w:pPr>
        <w:numPr>
          <w:ilvl w:val="0"/>
          <w:numId w:val="0"/>
        </w:numPr>
        <w:jc w:val="left"/>
        <w:rPr>
          <w:rFonts w:hint="eastAsia"/>
          <w:sz w:val="28"/>
          <w:szCs w:val="28"/>
          <w:lang w:val="en-US" w:eastAsia="zh-CN"/>
        </w:rPr>
      </w:pPr>
      <w:r>
        <w:rPr>
          <w:rFonts w:hint="eastAsia"/>
          <w:sz w:val="28"/>
          <w:szCs w:val="28"/>
          <w:lang w:val="en-US" w:eastAsia="zh-CN"/>
        </w:rPr>
        <w:t>（九）毕业生创业能力</w:t>
      </w:r>
    </w:p>
    <w:p>
      <w:pPr>
        <w:numPr>
          <w:ilvl w:val="0"/>
          <w:numId w:val="0"/>
        </w:numPr>
        <w:ind w:firstLine="560"/>
        <w:jc w:val="left"/>
        <w:rPr>
          <w:rFonts w:hint="eastAsia"/>
          <w:sz w:val="28"/>
          <w:szCs w:val="28"/>
          <w:lang w:val="en-US" w:eastAsia="zh-CN"/>
        </w:rPr>
      </w:pPr>
      <w:r>
        <w:rPr>
          <w:rFonts w:hint="eastAsia"/>
          <w:sz w:val="28"/>
          <w:szCs w:val="28"/>
          <w:lang w:val="en-US" w:eastAsia="zh-CN"/>
        </w:rPr>
        <w:t>调研数据显示，毕业生认为创业应具备的主要能力有“专业基础知识”（43.06%）、“持续学习能力”（33.33%）、“沟通协调与处理社会关系能力”（33.33%）。</w:t>
      </w:r>
    </w:p>
    <w:p>
      <w:pPr>
        <w:numPr>
          <w:ilvl w:val="0"/>
          <w:numId w:val="0"/>
        </w:numPr>
        <w:jc w:val="left"/>
        <w:rPr>
          <w:rFonts w:hint="default"/>
          <w:sz w:val="28"/>
          <w:szCs w:val="28"/>
          <w:lang w:val="en-US" w:eastAsia="zh-CN"/>
        </w:rPr>
      </w:pPr>
      <w:r>
        <w:rPr>
          <w:rFonts w:hint="default"/>
          <w:sz w:val="28"/>
          <w:szCs w:val="28"/>
          <w:lang w:val="en-US" w:eastAsia="zh-CN"/>
        </w:rPr>
        <w:drawing>
          <wp:inline distT="0" distB="0" distL="114300" distR="114300">
            <wp:extent cx="5554345" cy="2606040"/>
            <wp:effectExtent l="4445" t="4445" r="22860" b="18415"/>
            <wp:docPr id="82" name="图表 82"/>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pPr>
        <w:ind w:firstLine="400" w:firstLineChars="200"/>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图</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5</w:t>
      </w:r>
      <w:r>
        <w:rPr>
          <w:rFonts w:asciiTheme="minorEastAsia" w:hAnsiTheme="minorEastAsia" w:eastAsiaTheme="minorEastAsia"/>
          <w:sz w:val="20"/>
          <w:szCs w:val="20"/>
          <w:lang w:val="ru-RU"/>
        </w:rPr>
        <w:t>-</w:t>
      </w:r>
      <w:r>
        <w:rPr>
          <w:rFonts w:hint="eastAsia" w:asciiTheme="minorEastAsia" w:hAnsiTheme="minorEastAsia" w:eastAsiaTheme="minorEastAsia"/>
          <w:sz w:val="20"/>
          <w:szCs w:val="20"/>
          <w:lang w:val="en-US" w:eastAsia="zh-CN"/>
        </w:rPr>
        <w:t>8  2023届毕业生创业应具备的能力（多选题）</w:t>
      </w:r>
    </w:p>
    <w:p>
      <w:pPr>
        <w:pStyle w:val="6"/>
        <w:rPr>
          <w:rFonts w:hint="eastAsia"/>
          <w:lang w:val="en-US" w:eastAsia="zh-CN"/>
        </w:rPr>
      </w:pPr>
    </w:p>
    <w:p>
      <w:pPr>
        <w:numPr>
          <w:ilvl w:val="0"/>
          <w:numId w:val="0"/>
        </w:numPr>
        <w:jc w:val="left"/>
        <w:rPr>
          <w:rFonts w:hint="default"/>
          <w:sz w:val="28"/>
          <w:szCs w:val="28"/>
          <w:highlight w:val="none"/>
          <w:lang w:val="en-US" w:eastAsia="zh-CN"/>
        </w:rPr>
      </w:pPr>
      <w:r>
        <w:rPr>
          <w:rFonts w:hint="eastAsia"/>
          <w:sz w:val="28"/>
          <w:szCs w:val="28"/>
          <w:highlight w:val="none"/>
          <w:lang w:val="en-US" w:eastAsia="zh-CN"/>
        </w:rPr>
        <w:t>（十）毕业生希望学校加强的创业相关服务</w:t>
      </w:r>
    </w:p>
    <w:p>
      <w:pPr>
        <w:ind w:firstLine="560" w:firstLineChars="200"/>
        <w:jc w:val="left"/>
        <w:rPr>
          <w:rFonts w:hint="eastAsia"/>
          <w:sz w:val="28"/>
          <w:szCs w:val="28"/>
          <w:lang w:val="en-US" w:eastAsia="zh-CN"/>
        </w:rPr>
      </w:pPr>
      <w:r>
        <w:rPr>
          <w:rFonts w:hint="eastAsia"/>
          <w:sz w:val="28"/>
          <w:szCs w:val="28"/>
          <w:lang w:val="en-US" w:eastAsia="zh-CN"/>
        </w:rPr>
        <w:t>调研数据显示，毕业生希望学校加强的创业相关服务主要为“创业相关课程”（40.28%）、“提供资金与平台”（38.89%）、“其他”（22.22%）。</w:t>
      </w:r>
    </w:p>
    <w:p>
      <w:pPr>
        <w:pStyle w:val="10"/>
        <w:ind w:left="0" w:leftChars="0" w:firstLine="0" w:firstLineChars="0"/>
        <w:rPr>
          <w:rFonts w:hint="default"/>
          <w:sz w:val="28"/>
          <w:szCs w:val="28"/>
          <w:lang w:val="en-US" w:eastAsia="zh-CN"/>
        </w:rPr>
      </w:pPr>
      <w:r>
        <w:rPr>
          <w:rFonts w:hint="default"/>
          <w:sz w:val="28"/>
          <w:szCs w:val="28"/>
          <w:lang w:val="en-US" w:eastAsia="zh-CN"/>
        </w:rPr>
        <w:drawing>
          <wp:inline distT="0" distB="0" distL="114300" distR="114300">
            <wp:extent cx="5554345" cy="2606040"/>
            <wp:effectExtent l="4445" t="4445" r="22860" b="1841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pPr>
        <w:ind w:firstLine="400" w:firstLineChars="200"/>
        <w:jc w:val="center"/>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图</w:t>
      </w:r>
      <w:r>
        <w:rPr>
          <w:rFonts w:asciiTheme="minorEastAsia" w:hAnsiTheme="minorEastAsia" w:eastAsiaTheme="minorEastAsia"/>
          <w:sz w:val="20"/>
          <w:szCs w:val="20"/>
          <w:highlight w:val="none"/>
          <w:lang w:val="ru-RU"/>
        </w:rPr>
        <w:t xml:space="preserve"> </w:t>
      </w:r>
      <w:r>
        <w:rPr>
          <w:rFonts w:hint="eastAsia" w:asciiTheme="minorEastAsia" w:hAnsiTheme="minorEastAsia" w:eastAsiaTheme="minorEastAsia"/>
          <w:sz w:val="20"/>
          <w:szCs w:val="20"/>
          <w:highlight w:val="none"/>
          <w:lang w:val="en-US" w:eastAsia="zh-CN"/>
        </w:rPr>
        <w:t>5</w:t>
      </w:r>
      <w:r>
        <w:rPr>
          <w:rFonts w:asciiTheme="minorEastAsia" w:hAnsiTheme="minorEastAsia" w:eastAsiaTheme="minorEastAsia"/>
          <w:sz w:val="20"/>
          <w:szCs w:val="20"/>
          <w:highlight w:val="none"/>
          <w:lang w:val="ru-RU"/>
        </w:rPr>
        <w:t>-</w:t>
      </w:r>
      <w:r>
        <w:rPr>
          <w:rFonts w:hint="eastAsia" w:asciiTheme="minorEastAsia" w:hAnsiTheme="minorEastAsia" w:eastAsiaTheme="minorEastAsia"/>
          <w:sz w:val="20"/>
          <w:szCs w:val="20"/>
          <w:highlight w:val="none"/>
          <w:lang w:val="en-US" w:eastAsia="zh-CN"/>
        </w:rPr>
        <w:t>9  2023届毕业生希望学校加强的创业相关服务（多选题）</w:t>
      </w:r>
    </w:p>
    <w:p>
      <w:pPr>
        <w:pStyle w:val="6"/>
        <w:rPr>
          <w:rFonts w:hint="eastAsia" w:asciiTheme="minorEastAsia" w:hAnsiTheme="minorEastAsia" w:eastAsiaTheme="minorEastAsia"/>
          <w:sz w:val="20"/>
          <w:szCs w:val="20"/>
          <w:highlight w:val="none"/>
          <w:lang w:val="en-US" w:eastAsia="zh-CN"/>
        </w:rPr>
      </w:pPr>
    </w:p>
    <w:p>
      <w:pPr>
        <w:pStyle w:val="2"/>
        <w:rPr>
          <w:rFonts w:hint="eastAsia"/>
          <w:lang w:val="en-US" w:eastAsia="zh-CN"/>
        </w:rPr>
      </w:pPr>
    </w:p>
    <w:p>
      <w:pPr>
        <w:rPr>
          <w:rFonts w:hint="eastAsia"/>
          <w:lang w:val="en-US" w:eastAsia="zh-CN"/>
        </w:rPr>
      </w:pPr>
    </w:p>
    <w:p>
      <w:pPr>
        <w:pStyle w:val="6"/>
        <w:rPr>
          <w:rFonts w:hint="eastAsia"/>
          <w:lang w:val="en-US" w:eastAsia="zh-CN"/>
        </w:rPr>
      </w:pPr>
    </w:p>
    <w:p>
      <w:pPr>
        <w:pStyle w:val="2"/>
        <w:rPr>
          <w:rFonts w:hint="eastAsia"/>
          <w:lang w:val="en-US" w:eastAsia="zh-CN"/>
        </w:rPr>
      </w:pPr>
    </w:p>
    <w:p>
      <w:pPr>
        <w:rPr>
          <w:rFonts w:hint="eastAsia"/>
          <w:lang w:val="en-US" w:eastAsia="zh-CN"/>
        </w:rPr>
      </w:pPr>
    </w:p>
    <w:p>
      <w:pPr>
        <w:pStyle w:val="6"/>
        <w:rPr>
          <w:rFonts w:hint="eastAsia"/>
          <w:lang w:val="en-US" w:eastAsia="zh-CN"/>
        </w:rPr>
      </w:pPr>
    </w:p>
    <w:p>
      <w:pPr>
        <w:pStyle w:val="2"/>
        <w:rPr>
          <w:rFonts w:hint="eastAsia"/>
          <w:lang w:val="en-US" w:eastAsia="zh-CN"/>
        </w:rPr>
      </w:pPr>
    </w:p>
    <w:p>
      <w:pPr>
        <w:rPr>
          <w:rFonts w:hint="eastAsia"/>
          <w:lang w:val="en-US" w:eastAsia="zh-CN"/>
        </w:rPr>
      </w:pPr>
    </w:p>
    <w:p>
      <w:pPr>
        <w:pStyle w:val="6"/>
        <w:rPr>
          <w:rFonts w:hint="eastAsia"/>
          <w:lang w:val="en-US" w:eastAsia="zh-CN"/>
        </w:rPr>
      </w:pPr>
    </w:p>
    <w:p>
      <w:pPr>
        <w:pStyle w:val="2"/>
        <w:rPr>
          <w:rFonts w:hint="eastAsia"/>
          <w:lang w:val="en-US" w:eastAsia="zh-CN"/>
        </w:rPr>
      </w:pPr>
    </w:p>
    <w:p>
      <w:pPr>
        <w:rPr>
          <w:rFonts w:hint="eastAsia"/>
          <w:lang w:val="en-US" w:eastAsia="zh-CN"/>
        </w:rPr>
      </w:pPr>
    </w:p>
    <w:p>
      <w:pPr>
        <w:pStyle w:val="6"/>
        <w:rPr>
          <w:rFonts w:hint="eastAsia"/>
          <w:lang w:val="en-US" w:eastAsia="zh-CN"/>
        </w:rPr>
      </w:pPr>
    </w:p>
    <w:p>
      <w:pPr>
        <w:pStyle w:val="2"/>
        <w:rPr>
          <w:rFonts w:hint="eastAsia"/>
          <w:lang w:val="en-US" w:eastAsia="zh-CN"/>
        </w:rPr>
      </w:pPr>
    </w:p>
    <w:p>
      <w:pPr>
        <w:rPr>
          <w:rFonts w:hint="eastAsia"/>
          <w:lang w:val="en-US" w:eastAsia="zh-CN"/>
        </w:rPr>
      </w:pPr>
    </w:p>
    <w:p>
      <w:pPr>
        <w:pStyle w:val="6"/>
        <w:rPr>
          <w:rFonts w:hint="eastAsia"/>
          <w:lang w:val="en-US" w:eastAsia="zh-CN"/>
        </w:rPr>
      </w:pPr>
    </w:p>
    <w:p>
      <w:pPr>
        <w:pStyle w:val="2"/>
        <w:rPr>
          <w:rFonts w:hint="eastAsia"/>
          <w:lang w:val="en-US" w:eastAsia="zh-CN"/>
        </w:rPr>
      </w:pPr>
    </w:p>
    <w:p>
      <w:pPr>
        <w:rPr>
          <w:rFonts w:hint="eastAsia"/>
          <w:lang w:val="en-US" w:eastAsia="zh-CN"/>
        </w:rPr>
      </w:pPr>
    </w:p>
    <w:p>
      <w:pPr>
        <w:pStyle w:val="6"/>
        <w:rPr>
          <w:rFonts w:hint="eastAsia"/>
          <w:lang w:val="en-US" w:eastAsia="zh-CN"/>
        </w:rPr>
      </w:pPr>
    </w:p>
    <w:p>
      <w:pPr>
        <w:pStyle w:val="2"/>
        <w:rPr>
          <w:rFonts w:hint="eastAsia"/>
          <w:lang w:val="en-US" w:eastAsia="zh-CN"/>
        </w:rPr>
      </w:pPr>
    </w:p>
    <w:p>
      <w:pPr>
        <w:rPr>
          <w:rFonts w:hint="eastAsia"/>
          <w:lang w:val="en-US" w:eastAsia="zh-CN"/>
        </w:rPr>
      </w:pPr>
    </w:p>
    <w:p>
      <w:pPr>
        <w:pStyle w:val="6"/>
        <w:rPr>
          <w:rFonts w:hint="eastAsia"/>
          <w:lang w:val="en-US" w:eastAsia="zh-CN"/>
        </w:rPr>
      </w:pPr>
    </w:p>
    <w:p>
      <w:pPr>
        <w:pStyle w:val="2"/>
        <w:rPr>
          <w:rFonts w:hint="eastAsia"/>
          <w:lang w:val="en-US" w:eastAsia="zh-CN"/>
        </w:rPr>
      </w:pPr>
    </w:p>
    <w:p>
      <w:pPr>
        <w:rPr>
          <w:rFonts w:hint="eastAsia"/>
          <w:lang w:val="en-US" w:eastAsia="zh-CN"/>
        </w:rPr>
      </w:pPr>
    </w:p>
    <w:p>
      <w:pPr>
        <w:pStyle w:val="6"/>
        <w:rPr>
          <w:rFonts w:hint="eastAsia"/>
          <w:lang w:val="en-US" w:eastAsia="zh-CN"/>
        </w:rPr>
      </w:pPr>
    </w:p>
    <w:p>
      <w:pPr>
        <w:pStyle w:val="2"/>
        <w:rPr>
          <w:rFonts w:hint="eastAsia"/>
          <w:lang w:val="en-US" w:eastAsia="zh-CN"/>
        </w:rPr>
      </w:pPr>
    </w:p>
    <w:p>
      <w:pPr>
        <w:jc w:val="both"/>
        <w:rPr>
          <w:rFonts w:hint="eastAsia"/>
          <w:sz w:val="36"/>
          <w:szCs w:val="36"/>
          <w:highlight w:val="none"/>
          <w:lang w:val="en-US" w:eastAsia="zh-CN"/>
        </w:rPr>
      </w:pPr>
    </w:p>
    <w:p>
      <w:pPr>
        <w:jc w:val="center"/>
        <w:rPr>
          <w:rFonts w:hint="eastAsia"/>
          <w:sz w:val="36"/>
          <w:szCs w:val="36"/>
          <w:highlight w:val="none"/>
          <w:lang w:val="en-US" w:eastAsia="zh-CN"/>
        </w:rPr>
      </w:pPr>
      <w:r>
        <w:rPr>
          <w:rFonts w:hint="eastAsia"/>
          <w:sz w:val="36"/>
          <w:szCs w:val="36"/>
          <w:lang w:val="en-US" w:eastAsia="zh-CN"/>
        </w:rPr>
        <w:t>第六章 毕业生自由职业情况</w:t>
      </w:r>
    </w:p>
    <w:p>
      <w:pPr>
        <w:ind w:firstLine="560" w:firstLineChars="200"/>
        <w:jc w:val="left"/>
        <w:rPr>
          <w:rFonts w:hint="eastAsia"/>
          <w:sz w:val="28"/>
          <w:szCs w:val="28"/>
          <w:lang w:val="en-US" w:eastAsia="zh-CN"/>
        </w:rPr>
      </w:pPr>
      <w:r>
        <w:rPr>
          <w:rFonts w:hint="eastAsia"/>
          <w:sz w:val="28"/>
          <w:szCs w:val="28"/>
          <w:lang w:val="en-US" w:eastAsia="zh-CN"/>
        </w:rPr>
        <w:t>2023届毕业生自由职业213人，自由职业率5.30%。</w:t>
      </w:r>
    </w:p>
    <w:p>
      <w:pPr>
        <w:numPr>
          <w:ilvl w:val="0"/>
          <w:numId w:val="0"/>
        </w:numPr>
        <w:jc w:val="left"/>
        <w:rPr>
          <w:rFonts w:hint="eastAsia"/>
          <w:sz w:val="28"/>
          <w:szCs w:val="28"/>
          <w:lang w:val="en-US" w:eastAsia="zh-CN"/>
        </w:rPr>
      </w:pPr>
      <w:r>
        <w:rPr>
          <w:rFonts w:hint="eastAsia"/>
          <w:sz w:val="28"/>
          <w:szCs w:val="28"/>
          <w:lang w:val="en-US" w:eastAsia="zh-CN"/>
        </w:rPr>
        <w:t>一、自由职业情况</w:t>
      </w:r>
    </w:p>
    <w:p>
      <w:pPr>
        <w:numPr>
          <w:ilvl w:val="0"/>
          <w:numId w:val="0"/>
        </w:numPr>
        <w:ind w:firstLine="560"/>
        <w:jc w:val="left"/>
        <w:rPr>
          <w:rFonts w:hint="default"/>
          <w:lang w:val="en-US" w:eastAsia="zh-CN"/>
        </w:rPr>
      </w:pPr>
      <w:r>
        <w:rPr>
          <w:rFonts w:hint="eastAsia"/>
          <w:sz w:val="28"/>
          <w:szCs w:val="28"/>
          <w:lang w:val="en-US" w:eastAsia="zh-CN"/>
        </w:rPr>
        <w:t>2023届毕业生自由职业213人，自由职业率5.30%。</w:t>
      </w:r>
      <w:r>
        <w:rPr>
          <w:rFonts w:hint="eastAsia"/>
          <w:color w:val="auto"/>
          <w:sz w:val="28"/>
          <w:szCs w:val="28"/>
          <w:lang w:val="en-US" w:eastAsia="zh-CN"/>
        </w:rPr>
        <w:t>升学率排名前三的二</w:t>
      </w:r>
      <w:r>
        <w:rPr>
          <w:rFonts w:hint="eastAsia"/>
          <w:sz w:val="28"/>
          <w:szCs w:val="28"/>
          <w:lang w:val="en-US" w:eastAsia="zh-CN"/>
        </w:rPr>
        <w:t>级学院为：财会工商学院（自由职业人数79人，自由职业率10.6%）、生物工程学院（自由职业人数29人，自由职业率7.53%）、汽车与智能制造学院（自由职业人数26人，自由职业率7.3%）。毕业生自由职业率排名前三的专业为：旅游管理（自由职业人数26人，自由职业率22.03%）、文秘（自由职业人数27人，自由职业率16.27%）、动物医学（自由职业人数28人，自由职业率10.53%）。</w:t>
      </w:r>
    </w:p>
    <w:p>
      <w:pPr>
        <w:ind w:firstLine="400" w:firstLineChars="200"/>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表</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6</w:t>
      </w:r>
      <w:r>
        <w:rPr>
          <w:rFonts w:asciiTheme="minorEastAsia" w:hAnsiTheme="minorEastAsia" w:eastAsiaTheme="minorEastAsia"/>
          <w:sz w:val="20"/>
          <w:szCs w:val="20"/>
          <w:lang w:val="ru-RU"/>
        </w:rPr>
        <w:t>-</w:t>
      </w:r>
      <w:r>
        <w:rPr>
          <w:rFonts w:hint="eastAsia" w:asciiTheme="minorEastAsia" w:hAnsiTheme="minorEastAsia" w:eastAsiaTheme="minorEastAsia"/>
          <w:sz w:val="20"/>
          <w:szCs w:val="20"/>
          <w:lang w:val="en-US" w:eastAsia="zh-CN"/>
        </w:rPr>
        <w:t>1  2023届毕业生分专业自由职业情况</w:t>
      </w:r>
    </w:p>
    <w:p>
      <w:pPr>
        <w:jc w:val="right"/>
        <w:rPr>
          <w:rFonts w:hint="eastAsia" w:asciiTheme="minorEastAsia" w:hAnsiTheme="minorEastAsia" w:eastAsiaTheme="minorEastAsia"/>
          <w:sz w:val="20"/>
          <w:szCs w:val="20"/>
          <w:lang w:val="ru-RU"/>
        </w:rPr>
      </w:pPr>
      <w:r>
        <w:rPr>
          <w:rFonts w:hint="eastAsia" w:asciiTheme="minorEastAsia" w:hAnsiTheme="minorEastAsia" w:eastAsiaTheme="minorEastAsia"/>
          <w:sz w:val="20"/>
          <w:szCs w:val="20"/>
          <w:lang w:val="ru-RU"/>
        </w:rPr>
        <w:t>单位：人数（人）、比例（%）</w:t>
      </w:r>
    </w:p>
    <w:tbl>
      <w:tblPr>
        <w:tblStyle w:val="19"/>
        <w:tblW w:w="8862" w:type="dxa"/>
        <w:tblInd w:w="-232"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Layout w:type="autofit"/>
        <w:tblCellMar>
          <w:top w:w="0" w:type="dxa"/>
          <w:left w:w="108" w:type="dxa"/>
          <w:bottom w:w="0" w:type="dxa"/>
          <w:right w:w="108" w:type="dxa"/>
        </w:tblCellMar>
      </w:tblPr>
      <w:tblGrid>
        <w:gridCol w:w="2275"/>
        <w:gridCol w:w="2625"/>
        <w:gridCol w:w="1225"/>
        <w:gridCol w:w="1487"/>
        <w:gridCol w:w="1250"/>
      </w:tblGrid>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275" w:type="dxa"/>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single" w:sz="24" w:space="0"/>
              <w:insideV w:val="single" w:sz="8" w:space="0"/>
            </w:tcBorders>
            <w:shd w:val="clear" w:color="auto" w:fill="4BACC6" w:themeFill="accent5"/>
            <w:vAlign w:val="top"/>
          </w:tcPr>
          <w:p>
            <w:pPr>
              <w:jc w:val="center"/>
              <w:rPr>
                <w:rFonts w:hint="eastAsia" w:asciiTheme="minorEastAsia" w:hAnsiTheme="minorEastAsia" w:eastAsiaTheme="minorEastAsia"/>
                <w:b/>
                <w:bCs/>
                <w:i w:val="0"/>
                <w:iCs w:val="0"/>
                <w:color w:val="FFFFFF" w:themeColor="background1"/>
                <w:sz w:val="20"/>
                <w:szCs w:val="20"/>
                <w:lang w:val="ru-RU" w:eastAsia="zh-CN"/>
                <w14:textFill>
                  <w14:solidFill>
                    <w14:schemeClr w14:val="bg1"/>
                  </w14:solidFill>
                </w14:textFill>
              </w:rPr>
            </w:pPr>
            <w:r>
              <w:rPr>
                <w:rFonts w:hint="eastAsia" w:asciiTheme="minorEastAsia" w:hAnsiTheme="minorEastAsia" w:eastAsiaTheme="minorEastAsia"/>
                <w:b/>
                <w:bCs/>
                <w:i w:val="0"/>
                <w:iCs w:val="0"/>
                <w:color w:val="FFFFFF" w:themeColor="background1"/>
                <w:sz w:val="20"/>
                <w:szCs w:val="20"/>
                <w:lang w:val="en-US" w:eastAsia="zh-CN"/>
                <w14:textFill>
                  <w14:solidFill>
                    <w14:schemeClr w14:val="bg1"/>
                  </w14:solidFill>
                </w14:textFill>
              </w:rPr>
              <w:t>二级学院</w:t>
            </w:r>
          </w:p>
        </w:tc>
        <w:tc>
          <w:tcPr>
            <w:tcW w:w="2625" w:type="dxa"/>
            <w:tcBorders>
              <w:top w:val="single" w:color="FFFFFF" w:themeColor="background1" w:sz="8" w:space="0"/>
              <w:bottom w:val="single" w:color="FFFFFF" w:themeColor="background1" w:sz="24" w:space="0"/>
              <w:right w:val="single" w:color="FFFFFF" w:themeColor="background1" w:sz="8" w:space="0"/>
              <w:insideH w:val="single" w:sz="24" w:space="0"/>
              <w:insideV w:val="single" w:sz="8" w:space="0"/>
            </w:tcBorders>
            <w:shd w:val="clear" w:color="auto" w:fill="4BACC6" w:themeFill="accent5"/>
            <w:vAlign w:val="top"/>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t>专业</w:t>
            </w:r>
          </w:p>
        </w:tc>
        <w:tc>
          <w:tcPr>
            <w:tcW w:w="1225" w:type="dxa"/>
            <w:tcBorders>
              <w:top w:val="single" w:color="FFFFFF" w:themeColor="background1" w:sz="8" w:space="0"/>
              <w:bottom w:val="single" w:color="FFFFFF" w:themeColor="background1" w:sz="24" w:space="0"/>
              <w:right w:val="single" w:color="FFFFFF" w:themeColor="background1" w:sz="8" w:space="0"/>
              <w:insideH w:val="single" w:sz="24" w:space="0"/>
              <w:insideV w:val="single" w:sz="8" w:space="0"/>
            </w:tcBorders>
            <w:shd w:val="clear" w:color="auto" w:fill="4BACC6" w:themeFill="accent5"/>
            <w:vAlign w:val="top"/>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r>
              <w:rPr>
                <w:rFonts w:hint="eastAsia" w:asciiTheme="minorEastAsia" w:hAnsiTheme="minorEastAsia" w:eastAsiaTheme="minorEastAsia"/>
                <w:b/>
                <w:bCs/>
                <w:i w:val="0"/>
                <w:iCs w:val="0"/>
                <w:color w:val="FFFFFF" w:themeColor="background1"/>
                <w:sz w:val="20"/>
                <w:szCs w:val="20"/>
                <w:lang w:val="en-US" w:eastAsia="zh-CN"/>
                <w14:textFill>
                  <w14:solidFill>
                    <w14:schemeClr w14:val="bg1"/>
                  </w14:solidFill>
                </w14:textFill>
              </w:rPr>
              <w:t>毕业生人数</w:t>
            </w:r>
          </w:p>
        </w:tc>
        <w:tc>
          <w:tcPr>
            <w:tcW w:w="1487" w:type="dxa"/>
            <w:tcBorders>
              <w:top w:val="single" w:color="FFFFFF" w:themeColor="background1" w:sz="8" w:space="0"/>
              <w:bottom w:val="single" w:color="FFFFFF" w:themeColor="background1" w:sz="24" w:space="0"/>
              <w:right w:val="single" w:color="FFFFFF" w:themeColor="background1" w:sz="8" w:space="0"/>
              <w:insideH w:val="single" w:sz="24" w:space="0"/>
              <w:insideV w:val="single" w:sz="8" w:space="0"/>
            </w:tcBorders>
            <w:shd w:val="clear" w:color="auto" w:fill="4BACC6" w:themeFill="accent5"/>
            <w:vAlign w:val="top"/>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r>
              <w:rPr>
                <w:rFonts w:hint="eastAsia" w:asciiTheme="minorEastAsia" w:hAnsiTheme="minorEastAsia" w:eastAsiaTheme="minorEastAsia"/>
                <w:b/>
                <w:bCs/>
                <w:i w:val="0"/>
                <w:iCs w:val="0"/>
                <w:color w:val="FFFFFF" w:themeColor="background1"/>
                <w:sz w:val="20"/>
                <w:szCs w:val="20"/>
                <w:lang w:val="en-US" w:eastAsia="zh-CN"/>
                <w14:textFill>
                  <w14:solidFill>
                    <w14:schemeClr w14:val="bg1"/>
                  </w14:solidFill>
                </w14:textFill>
              </w:rPr>
              <w:t>自由职业人数</w:t>
            </w:r>
          </w:p>
        </w:tc>
        <w:tc>
          <w:tcPr>
            <w:tcW w:w="1250" w:type="dxa"/>
            <w:tcBorders>
              <w:top w:val="single" w:color="FFFFFF" w:themeColor="background1" w:sz="8" w:space="0"/>
              <w:bottom w:val="single" w:color="FFFFFF" w:themeColor="background1" w:sz="24" w:space="0"/>
              <w:right w:val="single" w:color="FFFFFF" w:themeColor="background1" w:sz="8" w:space="0"/>
              <w:insideH w:val="single" w:sz="24" w:space="0"/>
              <w:insideV w:val="single" w:sz="8" w:space="0"/>
            </w:tcBorders>
            <w:shd w:val="clear" w:color="auto" w:fill="4BACC6" w:themeFill="accent5"/>
            <w:vAlign w:val="top"/>
          </w:tcPr>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r>
              <w:rPr>
                <w:rFonts w:hint="eastAsia" w:asciiTheme="minorEastAsia" w:hAnsiTheme="minorEastAsia" w:eastAsiaTheme="minorEastAsia"/>
                <w:b/>
                <w:bCs/>
                <w:i w:val="0"/>
                <w:iCs w:val="0"/>
                <w:color w:val="FFFFFF" w:themeColor="background1"/>
                <w:sz w:val="20"/>
                <w:szCs w:val="20"/>
                <w:lang w:val="en-US" w:eastAsia="zh-CN"/>
                <w14:textFill>
                  <w14:solidFill>
                    <w14:schemeClr w14:val="bg1"/>
                  </w14:solidFill>
                </w14:textFill>
              </w:rPr>
              <w:t>自由职业率</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rPr>
          <w:trHeight w:val="90" w:hRule="atLeast"/>
        </w:trPr>
        <w:tc>
          <w:tcPr>
            <w:tcW w:w="2275" w:type="dxa"/>
            <w:vMerge w:val="restart"/>
            <w:tcBorders>
              <w:left w:val="single" w:color="FFFFFF" w:themeColor="background1" w:sz="8" w:space="0"/>
              <w:right w:val="single" w:color="FFFFFF" w:themeColor="background1" w:sz="24" w:space="0"/>
              <w:insideH w:val="nil"/>
              <w:insideV w:val="single" w:sz="24" w:space="0"/>
            </w:tcBorders>
            <w:shd w:val="clear" w:color="auto" w:fill="4BACC6" w:themeFill="accent5"/>
            <w:vAlign w:val="center"/>
          </w:tcPr>
          <w:p>
            <w:pPr>
              <w:jc w:val="center"/>
              <w:rPr>
                <w:rFonts w:hint="eastAsia" w:cs="Times New Roman" w:asciiTheme="minorEastAsia" w:hAnsiTheme="minorEastAsia" w:eastAsiaTheme="minorEastAsia"/>
                <w:b/>
                <w:bCs/>
                <w:i w:val="0"/>
                <w:iCs w:val="0"/>
                <w:color w:val="FFFFFF" w:themeColor="background1"/>
                <w:kern w:val="2"/>
                <w:sz w:val="20"/>
                <w:szCs w:val="20"/>
                <w:lang w:val="ru-RU" w:eastAsia="zh-CN" w:bidi="ar-SA"/>
                <w14:textFill>
                  <w14:solidFill>
                    <w14:schemeClr w14:val="bg1"/>
                  </w14:solidFill>
                </w14:textFill>
              </w:rPr>
            </w:pPr>
            <w: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t>财会工商</w:t>
            </w:r>
            <w:r>
              <w:rPr>
                <w:rFonts w:hint="eastAsia" w:asciiTheme="minorEastAsia" w:hAnsiTheme="minorEastAsia" w:eastAsiaTheme="minorEastAsia"/>
                <w:b/>
                <w:bCs/>
                <w:i w:val="0"/>
                <w:iCs w:val="0"/>
                <w:color w:val="FFFFFF" w:themeColor="background1"/>
                <w:sz w:val="20"/>
                <w:szCs w:val="20"/>
                <w:lang w:val="en-US" w:eastAsia="zh-CN"/>
                <w14:textFill>
                  <w14:solidFill>
                    <w14:schemeClr w14:val="bg1"/>
                  </w14:solidFill>
                </w14:textFill>
              </w:rPr>
              <w:t>学院</w:t>
            </w:r>
          </w:p>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25" w:type="dxa"/>
            <w:shd w:val="clear" w:color="auto" w:fill="D2EAF0" w:themeFill="accent5" w:themeFillTint="3F"/>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ru-RU" w:eastAsia="zh-CN"/>
              </w:rPr>
              <w:t>会计</w:t>
            </w:r>
          </w:p>
        </w:tc>
        <w:tc>
          <w:tcPr>
            <w:tcW w:w="1225" w:type="dxa"/>
            <w:shd w:val="clear" w:color="auto" w:fill="D2EAF0" w:themeFill="accent5" w:themeFillTint="3F"/>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403</w:t>
            </w:r>
          </w:p>
        </w:tc>
        <w:tc>
          <w:tcPr>
            <w:tcW w:w="1487" w:type="dxa"/>
            <w:shd w:val="clear" w:color="auto" w:fill="D2EAF0" w:themeFill="accent5" w:themeFillTint="3F"/>
            <w:vAlign w:val="center"/>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24</w:t>
            </w:r>
          </w:p>
        </w:tc>
        <w:tc>
          <w:tcPr>
            <w:tcW w:w="1250" w:type="dxa"/>
            <w:shd w:val="clear" w:color="auto" w:fill="D2EAF0" w:themeFill="accent5" w:themeFillTint="3F"/>
            <w:vAlign w:val="center"/>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5.96</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275"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center"/>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25" w:type="dxa"/>
            <w:shd w:val="clear" w:color="auto" w:fill="92CDDC" w:themeFill="accent5" w:themeFillTint="99"/>
            <w:vAlign w:val="top"/>
          </w:tcPr>
          <w:p>
            <w:pPr>
              <w:jc w:val="center"/>
              <w:rPr>
                <w:rFonts w:hint="eastAsia" w:cs="Times New Roman" w:asciiTheme="minorEastAsia" w:hAnsiTheme="minorEastAsia" w:eastAsiaTheme="minorEastAsia"/>
                <w:kern w:val="2"/>
                <w:sz w:val="20"/>
                <w:szCs w:val="20"/>
                <w:lang w:val="ru-RU" w:eastAsia="zh-CN" w:bidi="ar-SA"/>
              </w:rPr>
            </w:pPr>
            <w:r>
              <w:rPr>
                <w:rFonts w:hint="eastAsia" w:asciiTheme="minorEastAsia" w:hAnsiTheme="minorEastAsia" w:eastAsiaTheme="minorEastAsia"/>
                <w:sz w:val="20"/>
                <w:szCs w:val="20"/>
                <w:lang w:val="ru-RU" w:eastAsia="zh-CN"/>
              </w:rPr>
              <w:t>文秘</w:t>
            </w:r>
          </w:p>
        </w:tc>
        <w:tc>
          <w:tcPr>
            <w:tcW w:w="1225" w:type="dxa"/>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166</w:t>
            </w:r>
          </w:p>
        </w:tc>
        <w:tc>
          <w:tcPr>
            <w:tcW w:w="1487" w:type="dxa"/>
            <w:shd w:val="clear" w:color="auto" w:fill="92CDDC" w:themeFill="accent5" w:themeFillTint="99"/>
            <w:vAlign w:val="center"/>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27</w:t>
            </w:r>
          </w:p>
        </w:tc>
        <w:tc>
          <w:tcPr>
            <w:tcW w:w="1250" w:type="dxa"/>
            <w:shd w:val="clear" w:color="auto" w:fill="92CDDC" w:themeFill="accent5" w:themeFillTint="99"/>
            <w:vAlign w:val="center"/>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16.27</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275"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top"/>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25"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ru-RU" w:eastAsia="zh-CN"/>
              </w:rPr>
              <w:t>旅游管理</w:t>
            </w:r>
          </w:p>
        </w:tc>
        <w:tc>
          <w:tcPr>
            <w:tcW w:w="1225"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118</w:t>
            </w:r>
          </w:p>
        </w:tc>
        <w:tc>
          <w:tcPr>
            <w:tcW w:w="1487"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center"/>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26</w:t>
            </w:r>
          </w:p>
        </w:tc>
        <w:tc>
          <w:tcPr>
            <w:tcW w:w="125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center"/>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22.03</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275"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top"/>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25" w:type="dxa"/>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ru-RU" w:eastAsia="zh-CN"/>
              </w:rPr>
              <w:t>金融管理</w:t>
            </w:r>
          </w:p>
        </w:tc>
        <w:tc>
          <w:tcPr>
            <w:tcW w:w="1225" w:type="dxa"/>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58</w:t>
            </w:r>
          </w:p>
        </w:tc>
        <w:tc>
          <w:tcPr>
            <w:tcW w:w="1487" w:type="dxa"/>
            <w:shd w:val="clear" w:color="auto" w:fill="92CDDC" w:themeFill="accent5" w:themeFillTint="99"/>
            <w:vAlign w:val="center"/>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2</w:t>
            </w:r>
          </w:p>
        </w:tc>
        <w:tc>
          <w:tcPr>
            <w:tcW w:w="1250" w:type="dxa"/>
            <w:shd w:val="clear" w:color="auto" w:fill="92CDDC" w:themeFill="accent5" w:themeFillTint="99"/>
            <w:vAlign w:val="center"/>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3.45</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275" w:type="dxa"/>
            <w:vMerge w:val="continue"/>
            <w:tcBorders>
              <w:left w:val="single" w:color="FFFFFF" w:themeColor="background1" w:sz="8" w:space="0"/>
              <w:bottom w:val="nil"/>
              <w:right w:val="single" w:color="FFFFFF" w:themeColor="background1" w:sz="24" w:space="0"/>
              <w:insideH w:val="nil"/>
              <w:insideV w:val="single" w:sz="24" w:space="0"/>
            </w:tcBorders>
            <w:shd w:val="clear" w:color="auto" w:fill="4BACC6" w:themeFill="accent5"/>
            <w:vAlign w:val="top"/>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25" w:type="dxa"/>
            <w:shd w:val="clear" w:color="auto" w:fill="D2EAF0" w:themeFill="accent5" w:themeFillTint="3F"/>
            <w:vAlign w:val="top"/>
          </w:tcPr>
          <w:p>
            <w:pPr>
              <w:jc w:val="right"/>
              <w:rPr>
                <w:rFonts w:hint="default" w:cs="Times New Roman" w:asciiTheme="minorEastAsia" w:hAnsiTheme="minorEastAsia" w:eastAsiaTheme="minorEastAsia"/>
                <w:b/>
                <w:bCs/>
                <w:color w:val="1F497D" w:themeColor="text2"/>
                <w:kern w:val="2"/>
                <w:sz w:val="20"/>
                <w:szCs w:val="20"/>
                <w:highlight w:val="none"/>
                <w:lang w:val="en-US" w:eastAsia="zh-CN" w:bidi="ar-SA"/>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财会工商学院 汇总</w:t>
            </w:r>
          </w:p>
        </w:tc>
        <w:tc>
          <w:tcPr>
            <w:tcW w:w="1225" w:type="dxa"/>
            <w:shd w:val="clear" w:color="auto" w:fill="D2EAF0" w:themeFill="accent5" w:themeFillTint="3F"/>
            <w:vAlign w:val="top"/>
          </w:tcPr>
          <w:p>
            <w:pPr>
              <w:jc w:val="right"/>
              <w:rPr>
                <w:rFonts w:hint="default" w:cs="Times New Roman" w:asciiTheme="minorEastAsia" w:hAnsiTheme="minorEastAsia" w:eastAsiaTheme="minorEastAsia"/>
                <w:b/>
                <w:bCs/>
                <w:color w:val="1F497D" w:themeColor="text2"/>
                <w:kern w:val="2"/>
                <w:sz w:val="20"/>
                <w:szCs w:val="20"/>
                <w:highlight w:val="none"/>
                <w:lang w:val="en-US" w:eastAsia="zh-CN" w:bidi="ar-SA"/>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745</w:t>
            </w:r>
          </w:p>
        </w:tc>
        <w:tc>
          <w:tcPr>
            <w:tcW w:w="1487" w:type="dxa"/>
            <w:shd w:val="clear" w:color="auto" w:fill="D2EAF0" w:themeFill="accent5" w:themeFillTint="3F"/>
            <w:vAlign w:val="center"/>
          </w:tcPr>
          <w:p>
            <w:pPr>
              <w:jc w:val="right"/>
              <w:rPr>
                <w:rFonts w:hint="default" w:cs="Times New Roman" w:asciiTheme="minorEastAsia" w:hAnsiTheme="minorEastAsia" w:eastAsiaTheme="minorEastAsia"/>
                <w:kern w:val="2"/>
                <w:sz w:val="20"/>
                <w:szCs w:val="20"/>
                <w:highlight w:val="none"/>
                <w:lang w:val="en-US" w:eastAsia="zh-CN" w:bidi="ar-SA"/>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79</w:t>
            </w:r>
          </w:p>
        </w:tc>
        <w:tc>
          <w:tcPr>
            <w:tcW w:w="1250" w:type="dxa"/>
            <w:shd w:val="clear" w:color="auto" w:fill="D2EAF0" w:themeFill="accent5" w:themeFillTint="3F"/>
            <w:vAlign w:val="center"/>
          </w:tcPr>
          <w:p>
            <w:pPr>
              <w:jc w:val="right"/>
              <w:rPr>
                <w:rFonts w:hint="default" w:asciiTheme="minorEastAsia" w:hAnsiTheme="minorEastAsia" w:eastAsiaTheme="minorEastAsia"/>
                <w:b/>
                <w:bCs/>
                <w:color w:val="1F497D" w:themeColor="text2"/>
                <w:sz w:val="20"/>
                <w:szCs w:val="20"/>
                <w:highlight w:val="none"/>
                <w:lang w:val="en-US" w:eastAsia="zh-CN"/>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10.60</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275" w:type="dxa"/>
            <w:vMerge w:val="restart"/>
            <w:tcBorders>
              <w:top w:val="single" w:color="FFFFFF" w:themeColor="background1" w:sz="8" w:space="0"/>
              <w:left w:val="single" w:color="FFFFFF" w:themeColor="background1" w:sz="8" w:space="0"/>
              <w:right w:val="single" w:color="FFFFFF" w:themeColor="background1" w:sz="24" w:space="0"/>
              <w:insideH w:val="single" w:sz="8" w:space="0"/>
              <w:insideV w:val="single" w:sz="24" w:space="0"/>
            </w:tcBorders>
            <w:shd w:val="clear" w:color="auto" w:fill="4BACC6" w:themeFill="accent5"/>
            <w:vAlign w:val="center"/>
          </w:tcPr>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p>
            <w:pPr>
              <w:jc w:val="center"/>
              <w:rPr>
                <w:rFonts w:cs="Times New Roman" w:asciiTheme="minorEastAsia" w:hAnsiTheme="minorEastAsia" w:eastAsiaTheme="minorEastAsia"/>
                <w:b/>
                <w:bCs/>
                <w:i w:val="0"/>
                <w:iCs w:val="0"/>
                <w:color w:val="FFFFFF" w:themeColor="background1"/>
                <w:kern w:val="2"/>
                <w:sz w:val="20"/>
                <w:szCs w:val="20"/>
                <w:lang w:val="ru-RU" w:eastAsia="zh-CN" w:bidi="ar-SA"/>
                <w14:textFill>
                  <w14:solidFill>
                    <w14:schemeClr w14:val="bg1"/>
                  </w14:solidFill>
                </w14:textFill>
              </w:rPr>
            </w:pPr>
            <w: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t>电梯工程学院</w:t>
            </w:r>
          </w:p>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25"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eastAsia" w:cs="Times New Roman" w:asciiTheme="minorEastAsia" w:hAnsiTheme="minorEastAsia" w:eastAsiaTheme="minorEastAsia"/>
                <w:kern w:val="2"/>
                <w:sz w:val="20"/>
                <w:szCs w:val="20"/>
                <w:lang w:val="ru-RU" w:eastAsia="zh-CN" w:bidi="ar-SA"/>
              </w:rPr>
            </w:pPr>
            <w:r>
              <w:rPr>
                <w:rFonts w:hint="eastAsia" w:asciiTheme="minorEastAsia" w:hAnsiTheme="minorEastAsia" w:eastAsiaTheme="minorEastAsia"/>
                <w:sz w:val="20"/>
                <w:szCs w:val="20"/>
                <w:lang w:val="ru-RU"/>
              </w:rPr>
              <w:t>电梯工程技术</w:t>
            </w:r>
          </w:p>
        </w:tc>
        <w:tc>
          <w:tcPr>
            <w:tcW w:w="1225"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252</w:t>
            </w:r>
          </w:p>
        </w:tc>
        <w:tc>
          <w:tcPr>
            <w:tcW w:w="1487"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center"/>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16</w:t>
            </w:r>
          </w:p>
        </w:tc>
        <w:tc>
          <w:tcPr>
            <w:tcW w:w="125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center"/>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6.35</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rPr>
          <w:trHeight w:val="252" w:hRule="atLeast"/>
        </w:trPr>
        <w:tc>
          <w:tcPr>
            <w:tcW w:w="2275" w:type="dxa"/>
            <w:vMerge w:val="continue"/>
            <w:tcBorders>
              <w:left w:val="single" w:color="FFFFFF" w:themeColor="background1" w:sz="8" w:space="0"/>
              <w:right w:val="single" w:color="FFFFFF" w:themeColor="background1" w:sz="24" w:space="0"/>
              <w:insideH w:val="single" w:sz="8" w:space="0"/>
              <w:insideV w:val="single" w:sz="24" w:space="0"/>
            </w:tcBorders>
            <w:shd w:val="clear" w:color="auto" w:fill="4BACC6" w:themeFill="accent5"/>
            <w:vAlign w:val="center"/>
          </w:tcPr>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25"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eastAsia" w:cs="Times New Roman" w:asciiTheme="minorEastAsia" w:hAnsiTheme="minorEastAsia" w:eastAsiaTheme="minorEastAsia"/>
                <w:kern w:val="2"/>
                <w:sz w:val="20"/>
                <w:szCs w:val="20"/>
                <w:lang w:val="ru-RU" w:eastAsia="zh-CN" w:bidi="ar-SA"/>
              </w:rPr>
            </w:pPr>
            <w:r>
              <w:rPr>
                <w:rFonts w:hint="eastAsia" w:asciiTheme="minorEastAsia" w:hAnsiTheme="minorEastAsia" w:eastAsiaTheme="minorEastAsia"/>
                <w:sz w:val="20"/>
                <w:szCs w:val="20"/>
                <w:lang w:val="ru-RU"/>
              </w:rPr>
              <w:t>机电一体化技术</w:t>
            </w:r>
          </w:p>
        </w:tc>
        <w:tc>
          <w:tcPr>
            <w:tcW w:w="1225"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221</w:t>
            </w:r>
          </w:p>
        </w:tc>
        <w:tc>
          <w:tcPr>
            <w:tcW w:w="1487"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center"/>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9</w:t>
            </w:r>
          </w:p>
        </w:tc>
        <w:tc>
          <w:tcPr>
            <w:tcW w:w="125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center"/>
          </w:tcPr>
          <w:p>
            <w:pPr>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4.07</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275" w:type="dxa"/>
            <w:vMerge w:val="continue"/>
            <w:tcBorders>
              <w:left w:val="single" w:color="FFFFFF" w:themeColor="background1" w:sz="8" w:space="0"/>
              <w:right w:val="single" w:color="FFFFFF" w:themeColor="background1" w:sz="24" w:space="0"/>
              <w:insideH w:val="single" w:sz="8" w:space="0"/>
              <w:insideV w:val="single" w:sz="24" w:space="0"/>
            </w:tcBorders>
            <w:shd w:val="clear" w:color="auto" w:fill="4BACC6" w:themeFill="accent5"/>
            <w:vAlign w:val="center"/>
          </w:tcPr>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25"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ru-RU" w:eastAsia="zh-CN" w:bidi="ar-SA"/>
              </w:rPr>
            </w:pPr>
            <w:r>
              <w:rPr>
                <w:rFonts w:hint="eastAsia" w:asciiTheme="minorEastAsia" w:hAnsiTheme="minorEastAsia" w:eastAsiaTheme="minorEastAsia"/>
                <w:sz w:val="20"/>
                <w:szCs w:val="20"/>
                <w:lang w:val="en-US" w:eastAsia="zh-CN"/>
              </w:rPr>
              <w:t>物联网应用技术</w:t>
            </w:r>
          </w:p>
        </w:tc>
        <w:tc>
          <w:tcPr>
            <w:tcW w:w="1225"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36</w:t>
            </w:r>
          </w:p>
        </w:tc>
        <w:tc>
          <w:tcPr>
            <w:tcW w:w="1487"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center"/>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1</w:t>
            </w:r>
          </w:p>
        </w:tc>
        <w:tc>
          <w:tcPr>
            <w:tcW w:w="125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center"/>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2.78</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275" w:type="dxa"/>
            <w:vMerge w:val="continue"/>
            <w:tcBorders>
              <w:left w:val="single" w:color="FFFFFF" w:themeColor="background1" w:sz="8" w:space="0"/>
              <w:right w:val="single" w:color="FFFFFF" w:themeColor="background1" w:sz="24" w:space="0"/>
              <w:insideH w:val="single" w:sz="8" w:space="0"/>
              <w:insideV w:val="single" w:sz="24" w:space="0"/>
            </w:tcBorders>
            <w:shd w:val="clear" w:color="auto" w:fill="4BACC6" w:themeFill="accent5"/>
            <w:vAlign w:val="center"/>
          </w:tcPr>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25"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right"/>
              <w:rPr>
                <w:rFonts w:hint="default" w:cs="Times New Roman" w:asciiTheme="minorEastAsia" w:hAnsiTheme="minorEastAsia" w:eastAsiaTheme="minorEastAsia"/>
                <w:b/>
                <w:bCs/>
                <w:color w:val="1F497D" w:themeColor="text2"/>
                <w:kern w:val="2"/>
                <w:sz w:val="20"/>
                <w:szCs w:val="20"/>
                <w:highlight w:val="none"/>
                <w:lang w:val="ru-RU" w:eastAsia="zh-CN" w:bidi="ar-SA"/>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电梯工程学院 汇总</w:t>
            </w:r>
          </w:p>
        </w:tc>
        <w:tc>
          <w:tcPr>
            <w:tcW w:w="1225"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right"/>
              <w:rPr>
                <w:rFonts w:hint="default" w:cs="Times New Roman" w:asciiTheme="minorEastAsia" w:hAnsiTheme="minorEastAsia" w:eastAsiaTheme="minorEastAsia"/>
                <w:b/>
                <w:bCs/>
                <w:color w:val="1F497D" w:themeColor="text2"/>
                <w:kern w:val="2"/>
                <w:sz w:val="20"/>
                <w:szCs w:val="20"/>
                <w:highlight w:val="none"/>
                <w:lang w:val="en-US" w:eastAsia="zh-CN" w:bidi="ar-SA"/>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509</w:t>
            </w:r>
          </w:p>
        </w:tc>
        <w:tc>
          <w:tcPr>
            <w:tcW w:w="1487"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center"/>
          </w:tcPr>
          <w:p>
            <w:pPr>
              <w:jc w:val="right"/>
              <w:rPr>
                <w:rFonts w:hint="default" w:cs="Times New Roman" w:asciiTheme="minorEastAsia" w:hAnsiTheme="minorEastAsia" w:eastAsiaTheme="minorEastAsia"/>
                <w:kern w:val="2"/>
                <w:sz w:val="20"/>
                <w:szCs w:val="20"/>
                <w:highlight w:val="none"/>
                <w:lang w:val="en-US" w:eastAsia="zh-CN" w:bidi="ar-SA"/>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26</w:t>
            </w:r>
          </w:p>
        </w:tc>
        <w:tc>
          <w:tcPr>
            <w:tcW w:w="125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center"/>
          </w:tcPr>
          <w:p>
            <w:pPr>
              <w:jc w:val="right"/>
              <w:rPr>
                <w:rFonts w:hint="default" w:asciiTheme="minorEastAsia" w:hAnsiTheme="minorEastAsia" w:eastAsiaTheme="minorEastAsia"/>
                <w:b/>
                <w:bCs/>
                <w:color w:val="1F497D" w:themeColor="text2"/>
                <w:sz w:val="20"/>
                <w:szCs w:val="20"/>
                <w:highlight w:val="none"/>
                <w:lang w:val="en-US" w:eastAsia="zh-CN"/>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5.11</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275" w:type="dxa"/>
            <w:vMerge w:val="restart"/>
            <w:tcBorders>
              <w:left w:val="single" w:color="FFFFFF" w:themeColor="background1" w:sz="8" w:space="0"/>
              <w:right w:val="single" w:color="FFFFFF" w:themeColor="background1" w:sz="24" w:space="0"/>
              <w:insideH w:val="single" w:sz="8" w:space="0"/>
              <w:insideV w:val="single" w:sz="24" w:space="0"/>
            </w:tcBorders>
            <w:shd w:val="clear" w:color="auto" w:fill="4BACC6" w:themeFill="accent5"/>
            <w:vAlign w:val="center"/>
          </w:tcPr>
          <w:p>
            <w:pPr>
              <w:jc w:val="center"/>
              <w:rPr>
                <w:rFonts w:hint="eastAsia" w:cs="Times New Roman" w:asciiTheme="minorEastAsia" w:hAnsiTheme="minorEastAsia" w:eastAsiaTheme="minorEastAsia"/>
                <w:b/>
                <w:bCs/>
                <w:i w:val="0"/>
                <w:iCs w:val="0"/>
                <w:color w:val="FFFFFF" w:themeColor="background1"/>
                <w:kern w:val="2"/>
                <w:sz w:val="20"/>
                <w:szCs w:val="20"/>
                <w:lang w:val="en-US" w:eastAsia="zh-CN" w:bidi="ar-SA"/>
                <w14:textFill>
                  <w14:solidFill>
                    <w14:schemeClr w14:val="bg1"/>
                  </w14:solidFill>
                </w14:textFill>
              </w:rPr>
            </w:pPr>
          </w:p>
          <w:p>
            <w:pPr>
              <w:jc w:val="center"/>
              <w:rPr>
                <w:rFonts w:hint="default" w:cs="Times New Roman" w:asciiTheme="minorEastAsia" w:hAnsiTheme="minorEastAsia" w:eastAsiaTheme="minorEastAsia"/>
                <w:b/>
                <w:bCs/>
                <w:i w:val="0"/>
                <w:iCs w:val="0"/>
                <w:color w:val="FFFFFF" w:themeColor="background1"/>
                <w:kern w:val="2"/>
                <w:sz w:val="20"/>
                <w:szCs w:val="20"/>
                <w:lang w:val="en-US" w:eastAsia="zh-CN" w:bidi="ar-SA"/>
                <w14:textFill>
                  <w14:solidFill>
                    <w14:schemeClr w14:val="bg1"/>
                  </w14:solidFill>
                </w14:textFill>
              </w:rPr>
            </w:pPr>
            <w:r>
              <w:rPr>
                <w:rFonts w:hint="eastAsia" w:cs="Times New Roman" w:asciiTheme="minorEastAsia" w:hAnsiTheme="minorEastAsia" w:eastAsiaTheme="minorEastAsia"/>
                <w:b/>
                <w:bCs/>
                <w:i w:val="0"/>
                <w:iCs w:val="0"/>
                <w:color w:val="FFFFFF" w:themeColor="background1"/>
                <w:kern w:val="2"/>
                <w:sz w:val="20"/>
                <w:szCs w:val="20"/>
                <w:lang w:val="en-US" w:eastAsia="zh-CN" w:bidi="ar-SA"/>
                <w14:textFill>
                  <w14:solidFill>
                    <w14:schemeClr w14:val="bg1"/>
                  </w14:solidFill>
                </w14:textFill>
              </w:rPr>
              <w:t>艺术创意学院</w:t>
            </w:r>
          </w:p>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25"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ru-RU" w:eastAsia="zh-CN"/>
              </w:rPr>
              <w:t>电子商务</w:t>
            </w:r>
          </w:p>
        </w:tc>
        <w:tc>
          <w:tcPr>
            <w:tcW w:w="1225"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433</w:t>
            </w:r>
          </w:p>
        </w:tc>
        <w:tc>
          <w:tcPr>
            <w:tcW w:w="1487"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center"/>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20</w:t>
            </w:r>
          </w:p>
        </w:tc>
        <w:tc>
          <w:tcPr>
            <w:tcW w:w="125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center"/>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4.62</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275" w:type="dxa"/>
            <w:vMerge w:val="continue"/>
            <w:tcBorders>
              <w:left w:val="single" w:color="FFFFFF" w:themeColor="background1" w:sz="8" w:space="0"/>
              <w:right w:val="single" w:color="FFFFFF" w:themeColor="background1" w:sz="24" w:space="0"/>
              <w:insideH w:val="single" w:sz="8" w:space="0"/>
              <w:insideV w:val="single" w:sz="24" w:space="0"/>
            </w:tcBorders>
            <w:shd w:val="clear" w:color="auto" w:fill="4BACC6" w:themeFill="accent5"/>
            <w:vAlign w:val="center"/>
          </w:tcPr>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25"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ru-RU" w:eastAsia="zh-CN"/>
              </w:rPr>
              <w:t>服装与服饰设计</w:t>
            </w:r>
          </w:p>
        </w:tc>
        <w:tc>
          <w:tcPr>
            <w:tcW w:w="1225"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91</w:t>
            </w:r>
          </w:p>
        </w:tc>
        <w:tc>
          <w:tcPr>
            <w:tcW w:w="1487"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center"/>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3</w:t>
            </w:r>
          </w:p>
        </w:tc>
        <w:tc>
          <w:tcPr>
            <w:tcW w:w="125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center"/>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3.30</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rPr>
          <w:trHeight w:val="235" w:hRule="atLeast"/>
        </w:trPr>
        <w:tc>
          <w:tcPr>
            <w:tcW w:w="2275" w:type="dxa"/>
            <w:vMerge w:val="continue"/>
            <w:tcBorders>
              <w:left w:val="single" w:color="FFFFFF" w:themeColor="background1" w:sz="8" w:space="0"/>
              <w:bottom w:val="single" w:color="FFFFFF" w:themeColor="background1" w:sz="8" w:space="0"/>
              <w:right w:val="single" w:color="FFFFFF" w:themeColor="background1" w:sz="24" w:space="0"/>
              <w:insideH w:val="single" w:sz="8" w:space="0"/>
              <w:insideV w:val="single" w:sz="24" w:space="0"/>
            </w:tcBorders>
            <w:shd w:val="clear" w:color="auto" w:fill="4BACC6" w:themeFill="accent5"/>
            <w:vAlign w:val="center"/>
          </w:tcPr>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25"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cs="Times New Roman" w:asciiTheme="minorEastAsia" w:hAnsiTheme="minorEastAsia" w:eastAsiaTheme="minorEastAsia"/>
                <w:b/>
                <w:bCs/>
                <w:color w:val="1F497D" w:themeColor="text2"/>
                <w:kern w:val="2"/>
                <w:sz w:val="20"/>
                <w:szCs w:val="20"/>
                <w:lang w:val="en-US" w:eastAsia="zh-CN" w:bidi="ar-SA"/>
                <w14:textFill>
                  <w14:solidFill>
                    <w14:schemeClr w14:val="tx2"/>
                  </w14:solidFill>
                </w14:textFill>
              </w:rPr>
            </w:pPr>
            <w:r>
              <w:rPr>
                <w:rFonts w:hint="eastAsia" w:asciiTheme="minorEastAsia" w:hAnsiTheme="minorEastAsia" w:eastAsiaTheme="minorEastAsia"/>
                <w:sz w:val="20"/>
                <w:szCs w:val="20"/>
                <w:lang w:val="ru-RU" w:eastAsia="zh-CN"/>
              </w:rPr>
              <w:t>广告设计与制作</w:t>
            </w:r>
          </w:p>
        </w:tc>
        <w:tc>
          <w:tcPr>
            <w:tcW w:w="1225"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cs="Times New Roman" w:asciiTheme="minorEastAsia" w:hAnsiTheme="minorEastAsia" w:eastAsiaTheme="minorEastAsia"/>
                <w:b/>
                <w:bCs/>
                <w:color w:val="1F497D" w:themeColor="text2"/>
                <w:kern w:val="2"/>
                <w:sz w:val="20"/>
                <w:szCs w:val="20"/>
                <w:lang w:val="en-US" w:eastAsia="zh-CN" w:bidi="ar-SA"/>
                <w14:textFill>
                  <w14:solidFill>
                    <w14:schemeClr w14:val="tx2"/>
                  </w14:solidFill>
                </w14:textFill>
              </w:rPr>
            </w:pPr>
            <w:r>
              <w:rPr>
                <w:rFonts w:hint="eastAsia" w:asciiTheme="minorEastAsia" w:hAnsiTheme="minorEastAsia" w:eastAsiaTheme="minorEastAsia"/>
                <w:sz w:val="20"/>
                <w:szCs w:val="20"/>
                <w:lang w:val="en-US" w:eastAsia="zh-CN"/>
              </w:rPr>
              <w:t>189</w:t>
            </w:r>
          </w:p>
        </w:tc>
        <w:tc>
          <w:tcPr>
            <w:tcW w:w="1487"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center"/>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1</w:t>
            </w:r>
          </w:p>
        </w:tc>
        <w:tc>
          <w:tcPr>
            <w:tcW w:w="125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center"/>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0.53</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275" w:type="dxa"/>
            <w:vMerge w:val="continue"/>
            <w:tcBorders>
              <w:top w:val="single" w:color="FFFFFF" w:themeColor="background1" w:sz="8" w:space="0"/>
              <w:left w:val="single" w:color="FFFFFF" w:themeColor="background1" w:sz="8" w:space="0"/>
              <w:bottom w:val="single" w:color="FFFFFF" w:themeColor="background1" w:sz="8" w:space="0"/>
              <w:right w:val="single" w:color="FFFFFF" w:themeColor="background1" w:sz="24" w:space="0"/>
              <w:insideH w:val="single" w:sz="8" w:space="0"/>
              <w:insideV w:val="single" w:sz="24" w:space="0"/>
            </w:tcBorders>
            <w:shd w:val="clear" w:color="auto" w:fill="4BACC6" w:themeFill="accent5"/>
            <w:vAlign w:val="center"/>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25"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right"/>
              <w:rPr>
                <w:rFonts w:asciiTheme="minorEastAsia" w:hAnsiTheme="minorEastAsia" w:eastAsiaTheme="minorEastAsia"/>
                <w:sz w:val="20"/>
                <w:szCs w:val="20"/>
                <w:highlight w:val="none"/>
                <w:lang w:val="ru-RU"/>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艺术创意学院 汇总</w:t>
            </w:r>
          </w:p>
        </w:tc>
        <w:tc>
          <w:tcPr>
            <w:tcW w:w="1225"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right"/>
              <w:rPr>
                <w:rFonts w:hint="default" w:asciiTheme="minorEastAsia" w:hAnsiTheme="minorEastAsia" w:eastAsiaTheme="minorEastAsia"/>
                <w:b/>
                <w:bCs/>
                <w:sz w:val="20"/>
                <w:szCs w:val="20"/>
                <w:highlight w:val="none"/>
                <w:lang w:val="en-US" w:eastAsia="zh-CN"/>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713</w:t>
            </w:r>
          </w:p>
        </w:tc>
        <w:tc>
          <w:tcPr>
            <w:tcW w:w="1487"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center"/>
          </w:tcPr>
          <w:p>
            <w:pPr>
              <w:jc w:val="right"/>
              <w:rPr>
                <w:rFonts w:hint="default" w:asciiTheme="minorEastAsia" w:hAnsiTheme="minorEastAsia" w:eastAsiaTheme="minorEastAsia"/>
                <w:b/>
                <w:bCs/>
                <w:sz w:val="20"/>
                <w:szCs w:val="20"/>
                <w:highlight w:val="none"/>
                <w:lang w:val="en-US"/>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24</w:t>
            </w:r>
          </w:p>
        </w:tc>
        <w:tc>
          <w:tcPr>
            <w:tcW w:w="125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center"/>
          </w:tcPr>
          <w:p>
            <w:pPr>
              <w:jc w:val="right"/>
              <w:rPr>
                <w:rFonts w:hint="default" w:asciiTheme="minorEastAsia" w:hAnsiTheme="minorEastAsia" w:eastAsiaTheme="minorEastAsia"/>
                <w:b/>
                <w:bCs/>
                <w:color w:val="1F497D" w:themeColor="text2"/>
                <w:sz w:val="20"/>
                <w:szCs w:val="20"/>
                <w:highlight w:val="none"/>
                <w:lang w:val="en-US" w:eastAsia="zh-CN"/>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3.37</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275" w:type="dxa"/>
            <w:vMerge w:val="restart"/>
            <w:tcBorders>
              <w:top w:val="single" w:color="FFFFFF" w:themeColor="background1" w:sz="8" w:space="0"/>
              <w:left w:val="single" w:color="FFFFFF" w:themeColor="background1" w:sz="8" w:space="0"/>
              <w:right w:val="single" w:color="FFFFFF" w:themeColor="background1" w:sz="24" w:space="0"/>
              <w:insideH w:val="single" w:sz="8" w:space="0"/>
              <w:insideV w:val="single" w:sz="24" w:space="0"/>
            </w:tcBorders>
            <w:shd w:val="clear" w:color="auto" w:fill="4BACC6" w:themeFill="accent5"/>
            <w:vAlign w:val="center"/>
          </w:tcPr>
          <w:p>
            <w:pPr>
              <w:jc w:val="center"/>
              <w:rPr>
                <w:rFonts w:hint="eastAsia" w:cs="Times New Roman" w:asciiTheme="minorEastAsia" w:hAnsiTheme="minorEastAsia" w:eastAsiaTheme="minorEastAsia"/>
                <w:b/>
                <w:bCs/>
                <w:i w:val="0"/>
                <w:iCs w:val="0"/>
                <w:color w:val="FFFFFF" w:themeColor="background1"/>
                <w:kern w:val="2"/>
                <w:sz w:val="20"/>
                <w:szCs w:val="20"/>
                <w:lang w:val="en-US" w:eastAsia="zh-CN" w:bidi="ar-SA"/>
                <w14:textFill>
                  <w14:solidFill>
                    <w14:schemeClr w14:val="bg1"/>
                  </w14:solidFill>
                </w14:textFill>
              </w:rPr>
            </w:pPr>
            <w: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t>生物工程</w:t>
            </w:r>
            <w:r>
              <w:rPr>
                <w:rFonts w:hint="eastAsia" w:asciiTheme="minorEastAsia" w:hAnsiTheme="minorEastAsia" w:eastAsiaTheme="minorEastAsia"/>
                <w:b/>
                <w:bCs/>
                <w:i w:val="0"/>
                <w:iCs w:val="0"/>
                <w:color w:val="FFFFFF" w:themeColor="background1"/>
                <w:sz w:val="20"/>
                <w:szCs w:val="20"/>
                <w:lang w:val="en-US" w:eastAsia="zh-CN"/>
                <w14:textFill>
                  <w14:solidFill>
                    <w14:schemeClr w14:val="bg1"/>
                  </w14:solidFill>
                </w14:textFill>
              </w:rPr>
              <w:t>学院</w:t>
            </w:r>
          </w:p>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25"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eastAsia" w:cs="Times New Roman" w:asciiTheme="minorEastAsia" w:hAnsiTheme="minorEastAsia" w:eastAsiaTheme="minorEastAsia"/>
                <w:kern w:val="2"/>
                <w:sz w:val="20"/>
                <w:szCs w:val="20"/>
                <w:lang w:val="ru-RU" w:eastAsia="zh-CN" w:bidi="ar-SA"/>
              </w:rPr>
            </w:pPr>
            <w:r>
              <w:rPr>
                <w:rFonts w:hint="eastAsia" w:asciiTheme="minorEastAsia" w:hAnsiTheme="minorEastAsia" w:eastAsiaTheme="minorEastAsia"/>
                <w:sz w:val="20"/>
                <w:szCs w:val="20"/>
                <w:lang w:val="ru-RU"/>
              </w:rPr>
              <w:t>动物医学</w:t>
            </w:r>
          </w:p>
        </w:tc>
        <w:tc>
          <w:tcPr>
            <w:tcW w:w="1225"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266</w:t>
            </w:r>
          </w:p>
        </w:tc>
        <w:tc>
          <w:tcPr>
            <w:tcW w:w="1487"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center"/>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28</w:t>
            </w:r>
          </w:p>
        </w:tc>
        <w:tc>
          <w:tcPr>
            <w:tcW w:w="125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center"/>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10.53</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rPr>
          <w:trHeight w:val="252" w:hRule="atLeast"/>
        </w:trPr>
        <w:tc>
          <w:tcPr>
            <w:tcW w:w="2275" w:type="dxa"/>
            <w:vMerge w:val="continue"/>
            <w:tcBorders>
              <w:left w:val="single" w:color="FFFFFF" w:themeColor="background1" w:sz="8" w:space="0"/>
              <w:right w:val="single" w:color="FFFFFF" w:themeColor="background1" w:sz="24" w:space="0"/>
              <w:insideH w:val="single" w:sz="8" w:space="0"/>
              <w:insideV w:val="single" w:sz="24" w:space="0"/>
            </w:tcBorders>
            <w:shd w:val="clear" w:color="auto" w:fill="4BACC6" w:themeFill="accent5"/>
            <w:vAlign w:val="center"/>
          </w:tcPr>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25"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eastAsia" w:cs="Times New Roman" w:asciiTheme="minorEastAsia" w:hAnsiTheme="minorEastAsia" w:eastAsiaTheme="minorEastAsia"/>
                <w:kern w:val="2"/>
                <w:sz w:val="20"/>
                <w:szCs w:val="20"/>
                <w:lang w:val="ru-RU" w:eastAsia="zh-CN" w:bidi="ar-SA"/>
              </w:rPr>
            </w:pPr>
            <w:r>
              <w:rPr>
                <w:rFonts w:hint="eastAsia" w:asciiTheme="minorEastAsia" w:hAnsiTheme="minorEastAsia" w:eastAsiaTheme="minorEastAsia"/>
                <w:sz w:val="20"/>
                <w:szCs w:val="20"/>
                <w:lang w:val="ru-RU"/>
              </w:rPr>
              <w:t>药品生产技术</w:t>
            </w:r>
          </w:p>
        </w:tc>
        <w:tc>
          <w:tcPr>
            <w:tcW w:w="1225"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81</w:t>
            </w:r>
          </w:p>
        </w:tc>
        <w:tc>
          <w:tcPr>
            <w:tcW w:w="1487"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center"/>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1</w:t>
            </w:r>
          </w:p>
        </w:tc>
        <w:tc>
          <w:tcPr>
            <w:tcW w:w="125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center"/>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1.23</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275" w:type="dxa"/>
            <w:vMerge w:val="continue"/>
            <w:tcBorders>
              <w:left w:val="single" w:color="FFFFFF" w:themeColor="background1" w:sz="8" w:space="0"/>
              <w:right w:val="single" w:color="FFFFFF" w:themeColor="background1" w:sz="24" w:space="0"/>
              <w:insideH w:val="single" w:sz="8" w:space="0"/>
              <w:insideV w:val="single" w:sz="24" w:space="0"/>
            </w:tcBorders>
            <w:shd w:val="clear" w:color="auto" w:fill="4BACC6" w:themeFill="accent5"/>
            <w:vAlign w:val="center"/>
          </w:tcPr>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25"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ru-RU" w:eastAsia="zh-CN" w:bidi="ar-SA"/>
              </w:rPr>
            </w:pPr>
            <w:r>
              <w:rPr>
                <w:rFonts w:hint="eastAsia" w:asciiTheme="minorEastAsia" w:hAnsiTheme="minorEastAsia" w:eastAsiaTheme="minorEastAsia"/>
                <w:sz w:val="20"/>
                <w:szCs w:val="20"/>
                <w:lang w:val="en-US" w:eastAsia="zh-CN"/>
              </w:rPr>
              <w:t>宠物临床诊疗技术</w:t>
            </w:r>
          </w:p>
        </w:tc>
        <w:tc>
          <w:tcPr>
            <w:tcW w:w="1225"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38</w:t>
            </w:r>
          </w:p>
        </w:tc>
        <w:tc>
          <w:tcPr>
            <w:tcW w:w="1487"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center"/>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0</w:t>
            </w:r>
          </w:p>
        </w:tc>
        <w:tc>
          <w:tcPr>
            <w:tcW w:w="125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hemeFill="accent5" w:themeFillTint="99"/>
            <w:vAlign w:val="center"/>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0.00</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275" w:type="dxa"/>
            <w:vMerge w:val="continue"/>
            <w:tcBorders>
              <w:left w:val="single" w:color="FFFFFF" w:themeColor="background1" w:sz="8" w:space="0"/>
              <w:right w:val="single" w:color="FFFFFF" w:themeColor="background1" w:sz="24" w:space="0"/>
              <w:insideH w:val="single" w:sz="8" w:space="0"/>
              <w:insideV w:val="single" w:sz="24" w:space="0"/>
            </w:tcBorders>
            <w:shd w:val="clear" w:color="auto" w:fill="4BACC6" w:themeFill="accent5"/>
            <w:vAlign w:val="center"/>
          </w:tcPr>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25"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right"/>
              <w:rPr>
                <w:rFonts w:hint="default" w:cs="Times New Roman" w:asciiTheme="minorEastAsia" w:hAnsiTheme="minorEastAsia" w:eastAsiaTheme="minorEastAsia"/>
                <w:b/>
                <w:bCs/>
                <w:color w:val="1F497D" w:themeColor="text2"/>
                <w:kern w:val="2"/>
                <w:sz w:val="20"/>
                <w:szCs w:val="20"/>
                <w:highlight w:val="none"/>
                <w:lang w:val="ru-RU" w:eastAsia="zh-CN" w:bidi="ar-SA"/>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生物工程学院 汇总</w:t>
            </w:r>
          </w:p>
        </w:tc>
        <w:tc>
          <w:tcPr>
            <w:tcW w:w="1225"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right"/>
              <w:rPr>
                <w:rFonts w:hint="default" w:cs="Times New Roman" w:asciiTheme="minorEastAsia" w:hAnsiTheme="minorEastAsia" w:eastAsiaTheme="minorEastAsia"/>
                <w:b/>
                <w:bCs/>
                <w:color w:val="1F497D" w:themeColor="text2"/>
                <w:kern w:val="2"/>
                <w:sz w:val="20"/>
                <w:szCs w:val="20"/>
                <w:highlight w:val="none"/>
                <w:lang w:val="en-US" w:eastAsia="zh-CN" w:bidi="ar-SA"/>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385</w:t>
            </w:r>
          </w:p>
        </w:tc>
        <w:tc>
          <w:tcPr>
            <w:tcW w:w="1487"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center"/>
          </w:tcPr>
          <w:p>
            <w:pPr>
              <w:jc w:val="right"/>
              <w:rPr>
                <w:rFonts w:hint="default" w:cs="Times New Roman" w:asciiTheme="minorEastAsia" w:hAnsiTheme="minorEastAsia" w:eastAsiaTheme="minorEastAsia"/>
                <w:kern w:val="2"/>
                <w:sz w:val="20"/>
                <w:szCs w:val="20"/>
                <w:highlight w:val="none"/>
                <w:lang w:val="en-US" w:eastAsia="zh-CN" w:bidi="ar-SA"/>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29</w:t>
            </w:r>
          </w:p>
        </w:tc>
        <w:tc>
          <w:tcPr>
            <w:tcW w:w="125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center"/>
          </w:tcPr>
          <w:p>
            <w:pPr>
              <w:jc w:val="right"/>
              <w:rPr>
                <w:rFonts w:hint="default" w:asciiTheme="minorEastAsia" w:hAnsiTheme="minorEastAsia" w:eastAsiaTheme="minorEastAsia"/>
                <w:b/>
                <w:bCs/>
                <w:color w:val="1F497D" w:themeColor="text2"/>
                <w:sz w:val="20"/>
                <w:szCs w:val="20"/>
                <w:highlight w:val="none"/>
                <w:lang w:val="en-US" w:eastAsia="zh-CN"/>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7.53</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rPr>
          <w:trHeight w:val="90" w:hRule="atLeast"/>
        </w:trPr>
        <w:tc>
          <w:tcPr>
            <w:tcW w:w="2275" w:type="dxa"/>
            <w:vMerge w:val="restart"/>
            <w:tcBorders>
              <w:left w:val="single" w:color="FFFFFF" w:themeColor="background1" w:sz="8" w:space="0"/>
              <w:right w:val="single" w:color="FFFFFF" w:themeColor="background1" w:sz="24" w:space="0"/>
              <w:insideH w:val="nil"/>
              <w:insideV w:val="single" w:sz="24" w:space="0"/>
            </w:tcBorders>
            <w:shd w:val="clear" w:color="auto" w:fill="4BACC6" w:themeFill="accent5"/>
            <w:vAlign w:val="center"/>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t>汽车与智能制造学院</w:t>
            </w:r>
          </w:p>
        </w:tc>
        <w:tc>
          <w:tcPr>
            <w:tcW w:w="2625" w:type="dxa"/>
            <w:shd w:val="clear" w:color="auto" w:fill="92CDDC" w:themeFill="accent5" w:themeFillTint="99"/>
            <w:vAlign w:val="top"/>
          </w:tcPr>
          <w:p>
            <w:pPr>
              <w:jc w:val="center"/>
              <w:rPr>
                <w:rFonts w:asciiTheme="minorEastAsia" w:hAnsiTheme="minorEastAsia" w:eastAsiaTheme="minorEastAsia"/>
                <w:sz w:val="20"/>
                <w:szCs w:val="20"/>
                <w:lang w:val="ru-RU"/>
              </w:rPr>
            </w:pPr>
            <w:r>
              <w:rPr>
                <w:rFonts w:hint="eastAsia" w:asciiTheme="minorEastAsia" w:hAnsiTheme="minorEastAsia" w:eastAsiaTheme="minorEastAsia"/>
                <w:sz w:val="20"/>
                <w:szCs w:val="20"/>
                <w:lang w:val="ru-RU" w:eastAsia="zh-CN"/>
              </w:rPr>
              <w:t>汽车检测与维修技术</w:t>
            </w:r>
          </w:p>
        </w:tc>
        <w:tc>
          <w:tcPr>
            <w:tcW w:w="1225" w:type="dxa"/>
            <w:shd w:val="clear" w:color="auto" w:fill="92CDDC" w:themeFill="accent5" w:themeFillTint="99"/>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168</w:t>
            </w:r>
          </w:p>
        </w:tc>
        <w:tc>
          <w:tcPr>
            <w:tcW w:w="1487" w:type="dxa"/>
            <w:shd w:val="clear" w:color="auto" w:fill="92CDDC" w:themeFill="accent5" w:themeFillTint="99"/>
            <w:vAlign w:val="center"/>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15</w:t>
            </w:r>
          </w:p>
        </w:tc>
        <w:tc>
          <w:tcPr>
            <w:tcW w:w="1250" w:type="dxa"/>
            <w:shd w:val="clear" w:color="auto" w:fill="92CDDC" w:themeFill="accent5" w:themeFillTint="99"/>
            <w:vAlign w:val="center"/>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8.93</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275"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top"/>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25"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asciiTheme="minorEastAsia" w:hAnsiTheme="minorEastAsia" w:eastAsiaTheme="minorEastAsia"/>
                <w:sz w:val="20"/>
                <w:szCs w:val="20"/>
                <w:lang w:val="ru-RU"/>
              </w:rPr>
            </w:pPr>
            <w:r>
              <w:rPr>
                <w:rFonts w:hint="eastAsia" w:asciiTheme="minorEastAsia" w:hAnsiTheme="minorEastAsia" w:eastAsiaTheme="minorEastAsia"/>
                <w:sz w:val="20"/>
                <w:szCs w:val="20"/>
                <w:lang w:val="en-US" w:eastAsia="zh-CN"/>
              </w:rPr>
              <w:t>工业机器人技术</w:t>
            </w:r>
          </w:p>
        </w:tc>
        <w:tc>
          <w:tcPr>
            <w:tcW w:w="1225"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188</w:t>
            </w:r>
          </w:p>
        </w:tc>
        <w:tc>
          <w:tcPr>
            <w:tcW w:w="1487"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center"/>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11</w:t>
            </w:r>
          </w:p>
        </w:tc>
        <w:tc>
          <w:tcPr>
            <w:tcW w:w="125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center"/>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5.85</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275"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top"/>
          </w:tcPr>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25" w:type="dxa"/>
            <w:shd w:val="clear" w:color="auto" w:fill="92CDDC" w:themeFill="accent5" w:themeFillTint="99"/>
            <w:vAlign w:val="top"/>
          </w:tcPr>
          <w:p>
            <w:pPr>
              <w:jc w:val="right"/>
              <w:rPr>
                <w:rFonts w:hint="default" w:asciiTheme="minorEastAsia" w:hAnsiTheme="minorEastAsia" w:eastAsiaTheme="minorEastAsia"/>
                <w:b w:val="0"/>
                <w:bCs w:val="0"/>
                <w:color w:val="1F497D" w:themeColor="text2"/>
                <w:sz w:val="20"/>
                <w:szCs w:val="20"/>
                <w:highlight w:val="none"/>
                <w:lang w:val="en-US" w:eastAsia="zh-CN"/>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汽车与智能制造学院 汇总</w:t>
            </w:r>
          </w:p>
        </w:tc>
        <w:tc>
          <w:tcPr>
            <w:tcW w:w="1225" w:type="dxa"/>
            <w:shd w:val="clear" w:color="auto" w:fill="92CDDC" w:themeFill="accent5" w:themeFillTint="99"/>
            <w:vAlign w:val="top"/>
          </w:tcPr>
          <w:p>
            <w:pPr>
              <w:jc w:val="right"/>
              <w:rPr>
                <w:rFonts w:hint="default" w:asciiTheme="minorEastAsia" w:hAnsiTheme="minorEastAsia" w:eastAsiaTheme="minorEastAsia"/>
                <w:b/>
                <w:bCs/>
                <w:color w:val="1F497D" w:themeColor="text2"/>
                <w:sz w:val="20"/>
                <w:szCs w:val="20"/>
                <w:highlight w:val="none"/>
                <w:lang w:val="en-US" w:eastAsia="zh-CN"/>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356</w:t>
            </w:r>
          </w:p>
        </w:tc>
        <w:tc>
          <w:tcPr>
            <w:tcW w:w="1487" w:type="dxa"/>
            <w:shd w:val="clear" w:color="auto" w:fill="92CDDC" w:themeFill="accent5" w:themeFillTint="99"/>
            <w:vAlign w:val="center"/>
          </w:tcPr>
          <w:p>
            <w:pPr>
              <w:jc w:val="right"/>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26</w:t>
            </w:r>
          </w:p>
        </w:tc>
        <w:tc>
          <w:tcPr>
            <w:tcW w:w="1250" w:type="dxa"/>
            <w:shd w:val="clear" w:color="auto" w:fill="92CDDC" w:themeFill="accent5" w:themeFillTint="99"/>
            <w:vAlign w:val="center"/>
          </w:tcPr>
          <w:p>
            <w:pPr>
              <w:jc w:val="right"/>
              <w:rPr>
                <w:rFonts w:hint="default" w:asciiTheme="minorEastAsia" w:hAnsiTheme="minorEastAsia" w:eastAsiaTheme="minorEastAsia"/>
                <w:b/>
                <w:bCs/>
                <w:color w:val="1F497D" w:themeColor="text2"/>
                <w:sz w:val="20"/>
                <w:szCs w:val="20"/>
                <w:highlight w:val="none"/>
                <w:lang w:val="en-US" w:eastAsia="zh-CN"/>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7.30</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275" w:type="dxa"/>
            <w:vMerge w:val="restart"/>
            <w:tcBorders>
              <w:left w:val="single" w:color="FFFFFF" w:themeColor="background1" w:sz="8" w:space="0"/>
              <w:right w:val="single" w:color="FFFFFF" w:themeColor="background1" w:sz="24" w:space="0"/>
              <w:insideH w:val="nil"/>
              <w:insideV w:val="single" w:sz="24" w:space="0"/>
            </w:tcBorders>
            <w:shd w:val="clear" w:color="auto" w:fill="4BACC6" w:themeFill="accent5"/>
            <w:vAlign w:val="center"/>
          </w:tcPr>
          <w:p>
            <w:pPr>
              <w:jc w:val="center"/>
              <w:rPr>
                <w:rFonts w:hint="default" w:cs="Times New Roman" w:asciiTheme="minorEastAsia" w:hAnsiTheme="minorEastAsia" w:eastAsiaTheme="minorEastAsia"/>
                <w:b/>
                <w:bCs/>
                <w:i w:val="0"/>
                <w:iCs w:val="0"/>
                <w:color w:val="FFFFFF" w:themeColor="background1"/>
                <w:kern w:val="2"/>
                <w:sz w:val="20"/>
                <w:szCs w:val="20"/>
                <w:lang w:val="en-US" w:eastAsia="zh-CN" w:bidi="ar-SA"/>
                <w14:textFill>
                  <w14:solidFill>
                    <w14:schemeClr w14:val="bg1"/>
                  </w14:solidFill>
                </w14:textFill>
              </w:rPr>
            </w:pPr>
            <w:r>
              <w:rPr>
                <w:rFonts w:hint="eastAsia" w:cs="Times New Roman" w:asciiTheme="minorEastAsia" w:hAnsiTheme="minorEastAsia" w:eastAsiaTheme="minorEastAsia"/>
                <w:b/>
                <w:bCs/>
                <w:i w:val="0"/>
                <w:iCs w:val="0"/>
                <w:color w:val="FFFFFF" w:themeColor="background1"/>
                <w:kern w:val="2"/>
                <w:sz w:val="20"/>
                <w:szCs w:val="20"/>
                <w:lang w:val="en-US" w:eastAsia="zh-CN" w:bidi="ar-SA"/>
                <w14:textFill>
                  <w14:solidFill>
                    <w14:schemeClr w14:val="bg1"/>
                  </w14:solidFill>
                </w14:textFill>
              </w:rPr>
              <w:t>建筑工程学院</w:t>
            </w:r>
          </w:p>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25" w:type="dxa"/>
            <w:shd w:val="clear" w:color="auto" w:fill="D2EAF0" w:themeFill="accent5" w:themeFillTint="3F"/>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ru-RU"/>
              </w:rPr>
              <w:t>建筑工程技术</w:t>
            </w:r>
          </w:p>
        </w:tc>
        <w:tc>
          <w:tcPr>
            <w:tcW w:w="1225" w:type="dxa"/>
            <w:shd w:val="clear" w:color="auto" w:fill="D2EAF0" w:themeFill="accent5" w:themeFillTint="3F"/>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496</w:t>
            </w:r>
          </w:p>
        </w:tc>
        <w:tc>
          <w:tcPr>
            <w:tcW w:w="1487" w:type="dxa"/>
            <w:shd w:val="clear" w:color="auto" w:fill="D2EAF0" w:themeFill="accent5" w:themeFillTint="3F"/>
            <w:vAlign w:val="center"/>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18</w:t>
            </w:r>
          </w:p>
        </w:tc>
        <w:tc>
          <w:tcPr>
            <w:tcW w:w="1250" w:type="dxa"/>
            <w:shd w:val="clear" w:color="auto" w:fill="D2EAF0" w:themeFill="accent5" w:themeFillTint="3F"/>
            <w:vAlign w:val="center"/>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3.63</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275"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center"/>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25" w:type="dxa"/>
            <w:shd w:val="clear" w:color="auto" w:fill="92CDDC" w:themeFill="accent5" w:themeFillTint="99"/>
            <w:vAlign w:val="top"/>
          </w:tcPr>
          <w:p>
            <w:pPr>
              <w:jc w:val="center"/>
              <w:rPr>
                <w:rFonts w:hint="eastAsia" w:cs="Times New Roman" w:asciiTheme="minorEastAsia" w:hAnsiTheme="minorEastAsia" w:eastAsiaTheme="minorEastAsia"/>
                <w:kern w:val="2"/>
                <w:sz w:val="20"/>
                <w:szCs w:val="20"/>
                <w:lang w:val="ru-RU" w:eastAsia="zh-CN" w:bidi="ar-SA"/>
              </w:rPr>
            </w:pPr>
            <w:r>
              <w:rPr>
                <w:rFonts w:hint="eastAsia" w:asciiTheme="minorEastAsia" w:hAnsiTheme="minorEastAsia" w:eastAsiaTheme="minorEastAsia"/>
                <w:sz w:val="20"/>
                <w:szCs w:val="20"/>
                <w:lang w:val="ru-RU"/>
              </w:rPr>
              <w:t>工程造价</w:t>
            </w:r>
          </w:p>
        </w:tc>
        <w:tc>
          <w:tcPr>
            <w:tcW w:w="1225" w:type="dxa"/>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79</w:t>
            </w:r>
          </w:p>
        </w:tc>
        <w:tc>
          <w:tcPr>
            <w:tcW w:w="1487" w:type="dxa"/>
            <w:shd w:val="clear" w:color="auto" w:fill="92CDDC" w:themeFill="accent5" w:themeFillTint="99"/>
            <w:vAlign w:val="center"/>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0</w:t>
            </w:r>
          </w:p>
        </w:tc>
        <w:tc>
          <w:tcPr>
            <w:tcW w:w="1250" w:type="dxa"/>
            <w:shd w:val="clear" w:color="auto" w:fill="92CDDC" w:themeFill="accent5" w:themeFillTint="99"/>
            <w:vAlign w:val="center"/>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0.00</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rPr>
          <w:trHeight w:val="90" w:hRule="atLeast"/>
        </w:trPr>
        <w:tc>
          <w:tcPr>
            <w:tcW w:w="2275"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top"/>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25"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建筑装饰工程技术</w:t>
            </w:r>
          </w:p>
        </w:tc>
        <w:tc>
          <w:tcPr>
            <w:tcW w:w="1225"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143</w:t>
            </w:r>
          </w:p>
        </w:tc>
        <w:tc>
          <w:tcPr>
            <w:tcW w:w="1487"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center"/>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4</w:t>
            </w:r>
          </w:p>
        </w:tc>
        <w:tc>
          <w:tcPr>
            <w:tcW w:w="125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center"/>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2.80</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275"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top"/>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25" w:type="dxa"/>
            <w:shd w:val="clear" w:color="auto" w:fill="92CDDC" w:themeFill="accent5" w:themeFillTint="99"/>
            <w:vAlign w:val="top"/>
          </w:tcPr>
          <w:p>
            <w:pPr>
              <w:jc w:val="right"/>
              <w:rPr>
                <w:rFonts w:hint="default" w:cs="Times New Roman" w:asciiTheme="minorEastAsia" w:hAnsiTheme="minorEastAsia" w:eastAsiaTheme="minorEastAsia"/>
                <w:kern w:val="2"/>
                <w:sz w:val="20"/>
                <w:szCs w:val="20"/>
                <w:highlight w:val="none"/>
                <w:lang w:val="en-US" w:eastAsia="zh-CN" w:bidi="ar-SA"/>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建筑工程学院 汇总</w:t>
            </w:r>
          </w:p>
        </w:tc>
        <w:tc>
          <w:tcPr>
            <w:tcW w:w="1225" w:type="dxa"/>
            <w:shd w:val="clear" w:color="auto" w:fill="92CDDC" w:themeFill="accent5" w:themeFillTint="99"/>
            <w:vAlign w:val="top"/>
          </w:tcPr>
          <w:p>
            <w:pPr>
              <w:jc w:val="right"/>
              <w:rPr>
                <w:rFonts w:hint="default" w:cs="Times New Roman" w:asciiTheme="minorEastAsia" w:hAnsiTheme="minorEastAsia" w:eastAsiaTheme="minorEastAsia"/>
                <w:kern w:val="2"/>
                <w:sz w:val="20"/>
                <w:szCs w:val="20"/>
                <w:highlight w:val="none"/>
                <w:lang w:val="en-US" w:eastAsia="zh-CN" w:bidi="ar-SA"/>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718</w:t>
            </w:r>
          </w:p>
        </w:tc>
        <w:tc>
          <w:tcPr>
            <w:tcW w:w="1487" w:type="dxa"/>
            <w:shd w:val="clear" w:color="auto" w:fill="92CDDC" w:themeFill="accent5" w:themeFillTint="99"/>
            <w:vAlign w:val="center"/>
          </w:tcPr>
          <w:p>
            <w:pPr>
              <w:jc w:val="right"/>
              <w:rPr>
                <w:rFonts w:hint="default" w:cs="Times New Roman" w:asciiTheme="minorEastAsia" w:hAnsiTheme="minorEastAsia" w:eastAsiaTheme="minorEastAsia"/>
                <w:kern w:val="2"/>
                <w:sz w:val="20"/>
                <w:szCs w:val="20"/>
                <w:highlight w:val="none"/>
                <w:lang w:val="en-US" w:eastAsia="zh-CN" w:bidi="ar-SA"/>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22</w:t>
            </w:r>
          </w:p>
        </w:tc>
        <w:tc>
          <w:tcPr>
            <w:tcW w:w="1250" w:type="dxa"/>
            <w:shd w:val="clear" w:color="auto" w:fill="92CDDC" w:themeFill="accent5" w:themeFillTint="99"/>
            <w:vAlign w:val="center"/>
          </w:tcPr>
          <w:p>
            <w:pPr>
              <w:jc w:val="right"/>
              <w:rPr>
                <w:rFonts w:hint="default" w:asciiTheme="minorEastAsia" w:hAnsiTheme="minorEastAsia" w:eastAsiaTheme="minorEastAsia"/>
                <w:b/>
                <w:bCs/>
                <w:color w:val="1F497D" w:themeColor="text2"/>
                <w:sz w:val="20"/>
                <w:szCs w:val="20"/>
                <w:highlight w:val="none"/>
                <w:lang w:val="en-US" w:eastAsia="zh-CN"/>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3.06</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275" w:type="dxa"/>
            <w:vMerge w:val="restart"/>
            <w:tcBorders>
              <w:left w:val="single" w:color="FFFFFF" w:themeColor="background1" w:sz="8" w:space="0"/>
              <w:right w:val="single" w:color="FFFFFF" w:themeColor="background1" w:sz="24" w:space="0"/>
              <w:insideH w:val="nil"/>
              <w:insideV w:val="single" w:sz="24" w:space="0"/>
            </w:tcBorders>
            <w:shd w:val="clear" w:color="auto" w:fill="4BACC6" w:themeFill="accent5"/>
            <w:vAlign w:val="center"/>
          </w:tcPr>
          <w:p>
            <w:pPr>
              <w:jc w:val="center"/>
              <w:rPr>
                <w:rFonts w:hint="default" w:cs="Times New Roman" w:asciiTheme="minorEastAsia" w:hAnsiTheme="minorEastAsia" w:eastAsiaTheme="minorEastAsia"/>
                <w:b/>
                <w:bCs/>
                <w:i w:val="0"/>
                <w:iCs w:val="0"/>
                <w:color w:val="FFFFFF" w:themeColor="background1"/>
                <w:kern w:val="2"/>
                <w:sz w:val="20"/>
                <w:szCs w:val="20"/>
                <w:lang w:val="en-US" w:eastAsia="zh-CN" w:bidi="ar-SA"/>
                <w14:textFill>
                  <w14:solidFill>
                    <w14:schemeClr w14:val="bg1"/>
                  </w14:solidFill>
                </w14:textFill>
              </w:rPr>
            </w:pPr>
            <w:r>
              <w:rPr>
                <w:rFonts w:hint="eastAsia" w:cs="Times New Roman" w:asciiTheme="minorEastAsia" w:hAnsiTheme="minorEastAsia" w:eastAsiaTheme="minorEastAsia"/>
                <w:b/>
                <w:bCs/>
                <w:i w:val="0"/>
                <w:iCs w:val="0"/>
                <w:color w:val="FFFFFF" w:themeColor="background1"/>
                <w:kern w:val="2"/>
                <w:sz w:val="20"/>
                <w:szCs w:val="20"/>
                <w:lang w:val="en-US" w:eastAsia="zh-CN" w:bidi="ar-SA"/>
                <w14:textFill>
                  <w14:solidFill>
                    <w14:schemeClr w14:val="bg1"/>
                  </w14:solidFill>
                </w14:textFill>
              </w:rPr>
              <w:t>信息技术学院</w:t>
            </w:r>
          </w:p>
          <w:p>
            <w:pPr>
              <w:jc w:val="cente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25" w:type="dxa"/>
            <w:shd w:val="clear" w:color="auto" w:fill="D2EAF0" w:themeFill="accent5" w:themeFillTint="3F"/>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ru-RU" w:eastAsia="zh-CN"/>
              </w:rPr>
              <w:t>计算机应用技术</w:t>
            </w:r>
          </w:p>
        </w:tc>
        <w:tc>
          <w:tcPr>
            <w:tcW w:w="1225" w:type="dxa"/>
            <w:shd w:val="clear" w:color="auto" w:fill="D2EAF0" w:themeFill="accent5" w:themeFillTint="3F"/>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477</w:t>
            </w:r>
          </w:p>
        </w:tc>
        <w:tc>
          <w:tcPr>
            <w:tcW w:w="1487" w:type="dxa"/>
            <w:shd w:val="clear" w:color="auto" w:fill="D2EAF0" w:themeFill="accent5" w:themeFillTint="3F"/>
            <w:vAlign w:val="center"/>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3</w:t>
            </w:r>
          </w:p>
        </w:tc>
        <w:tc>
          <w:tcPr>
            <w:tcW w:w="1250" w:type="dxa"/>
            <w:shd w:val="clear" w:color="auto" w:fill="D2EAF0" w:themeFill="accent5" w:themeFillTint="3F"/>
            <w:vAlign w:val="center"/>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0.63</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275"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center"/>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25" w:type="dxa"/>
            <w:shd w:val="clear" w:color="auto" w:fill="92CDDC" w:themeFill="accent5" w:themeFillTint="99"/>
            <w:vAlign w:val="top"/>
          </w:tcPr>
          <w:p>
            <w:pPr>
              <w:jc w:val="center"/>
              <w:rPr>
                <w:rFonts w:hint="eastAsia" w:cs="Times New Roman" w:asciiTheme="minorEastAsia" w:hAnsiTheme="minorEastAsia" w:eastAsiaTheme="minorEastAsia"/>
                <w:kern w:val="2"/>
                <w:sz w:val="20"/>
                <w:szCs w:val="20"/>
                <w:lang w:val="ru-RU" w:eastAsia="zh-CN" w:bidi="ar-SA"/>
              </w:rPr>
            </w:pPr>
            <w:r>
              <w:rPr>
                <w:rFonts w:hint="eastAsia" w:asciiTheme="minorEastAsia" w:hAnsiTheme="minorEastAsia" w:eastAsiaTheme="minorEastAsia"/>
                <w:sz w:val="20"/>
                <w:szCs w:val="20"/>
                <w:lang w:val="en-US" w:eastAsia="zh-CN"/>
              </w:rPr>
              <w:t>计算机网络技术</w:t>
            </w:r>
          </w:p>
        </w:tc>
        <w:tc>
          <w:tcPr>
            <w:tcW w:w="1225" w:type="dxa"/>
            <w:shd w:val="clear" w:color="auto" w:fill="92CDDC" w:themeFill="accent5" w:themeFillTint="99"/>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79</w:t>
            </w:r>
          </w:p>
        </w:tc>
        <w:tc>
          <w:tcPr>
            <w:tcW w:w="1487" w:type="dxa"/>
            <w:shd w:val="clear" w:color="auto" w:fill="92CDDC" w:themeFill="accent5" w:themeFillTint="99"/>
            <w:vAlign w:val="center"/>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4</w:t>
            </w:r>
          </w:p>
        </w:tc>
        <w:tc>
          <w:tcPr>
            <w:tcW w:w="1250" w:type="dxa"/>
            <w:shd w:val="clear" w:color="auto" w:fill="92CDDC" w:themeFill="accent5" w:themeFillTint="99"/>
            <w:vAlign w:val="center"/>
          </w:tcPr>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5.06</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275"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top"/>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25"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ru-RU" w:eastAsia="zh-CN"/>
              </w:rPr>
              <w:t>移动互联</w:t>
            </w:r>
            <w:r>
              <w:rPr>
                <w:rFonts w:hint="eastAsia" w:asciiTheme="minorEastAsia" w:hAnsiTheme="minorEastAsia" w:eastAsiaTheme="minorEastAsia"/>
                <w:sz w:val="20"/>
                <w:szCs w:val="20"/>
                <w:lang w:val="en-US" w:eastAsia="zh-CN"/>
              </w:rPr>
              <w:t>应用</w:t>
            </w:r>
            <w:r>
              <w:rPr>
                <w:rFonts w:hint="eastAsia" w:asciiTheme="minorEastAsia" w:hAnsiTheme="minorEastAsia" w:eastAsiaTheme="minorEastAsia"/>
                <w:sz w:val="20"/>
                <w:szCs w:val="20"/>
                <w:lang w:val="ru-RU" w:eastAsia="zh-CN"/>
              </w:rPr>
              <w:t>技术</w:t>
            </w:r>
          </w:p>
        </w:tc>
        <w:tc>
          <w:tcPr>
            <w:tcW w:w="1225"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40</w:t>
            </w:r>
          </w:p>
        </w:tc>
        <w:tc>
          <w:tcPr>
            <w:tcW w:w="1487"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center"/>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sz w:val="20"/>
                <w:szCs w:val="20"/>
                <w:lang w:val="en-US" w:eastAsia="zh-CN"/>
              </w:rPr>
              <w:t>0</w:t>
            </w:r>
          </w:p>
        </w:tc>
        <w:tc>
          <w:tcPr>
            <w:tcW w:w="125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BEEF3" w:themeFill="accent5" w:themeFillTint="32"/>
            <w:vAlign w:val="center"/>
          </w:tcPr>
          <w:p>
            <w:pPr>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0.00</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275" w:type="dxa"/>
            <w:vMerge w:val="continue"/>
            <w:tcBorders>
              <w:left w:val="single" w:color="FFFFFF" w:themeColor="background1" w:sz="8" w:space="0"/>
              <w:right w:val="single" w:color="FFFFFF" w:themeColor="background1" w:sz="24" w:space="0"/>
              <w:insideH w:val="nil"/>
              <w:insideV w:val="single" w:sz="24" w:space="0"/>
            </w:tcBorders>
            <w:shd w:val="clear" w:color="auto" w:fill="4BACC6" w:themeFill="accent5"/>
            <w:vAlign w:val="top"/>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p>
        </w:tc>
        <w:tc>
          <w:tcPr>
            <w:tcW w:w="2625" w:type="dxa"/>
            <w:shd w:val="clear" w:color="auto" w:fill="92CDDC" w:themeFill="accent5" w:themeFillTint="99"/>
            <w:vAlign w:val="top"/>
          </w:tcPr>
          <w:p>
            <w:pPr>
              <w:jc w:val="right"/>
              <w:rPr>
                <w:rFonts w:hint="default" w:cs="Times New Roman" w:asciiTheme="minorEastAsia" w:hAnsiTheme="minorEastAsia" w:eastAsiaTheme="minorEastAsia"/>
                <w:kern w:val="2"/>
                <w:sz w:val="20"/>
                <w:szCs w:val="20"/>
                <w:highlight w:val="none"/>
                <w:lang w:val="en-US" w:eastAsia="zh-CN" w:bidi="ar-SA"/>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信息技术学院 汇总</w:t>
            </w:r>
          </w:p>
        </w:tc>
        <w:tc>
          <w:tcPr>
            <w:tcW w:w="1225" w:type="dxa"/>
            <w:shd w:val="clear" w:color="auto" w:fill="92CDDC" w:themeFill="accent5" w:themeFillTint="99"/>
            <w:vAlign w:val="top"/>
          </w:tcPr>
          <w:p>
            <w:pPr>
              <w:jc w:val="right"/>
              <w:rPr>
                <w:rFonts w:hint="default" w:cs="Times New Roman" w:asciiTheme="minorEastAsia" w:hAnsiTheme="minorEastAsia" w:eastAsiaTheme="minorEastAsia"/>
                <w:kern w:val="2"/>
                <w:sz w:val="20"/>
                <w:szCs w:val="20"/>
                <w:highlight w:val="none"/>
                <w:lang w:val="en-US" w:eastAsia="zh-CN" w:bidi="ar-SA"/>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596</w:t>
            </w:r>
          </w:p>
        </w:tc>
        <w:tc>
          <w:tcPr>
            <w:tcW w:w="1487" w:type="dxa"/>
            <w:shd w:val="clear" w:color="auto" w:fill="92CDDC" w:themeFill="accent5" w:themeFillTint="99"/>
            <w:vAlign w:val="center"/>
          </w:tcPr>
          <w:p>
            <w:pPr>
              <w:jc w:val="right"/>
              <w:rPr>
                <w:rFonts w:hint="default" w:cs="Times New Roman" w:asciiTheme="minorEastAsia" w:hAnsiTheme="minorEastAsia" w:eastAsiaTheme="minorEastAsia"/>
                <w:kern w:val="2"/>
                <w:sz w:val="20"/>
                <w:szCs w:val="20"/>
                <w:highlight w:val="none"/>
                <w:lang w:val="en-US" w:eastAsia="zh-CN" w:bidi="ar-SA"/>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7</w:t>
            </w:r>
          </w:p>
        </w:tc>
        <w:tc>
          <w:tcPr>
            <w:tcW w:w="1250" w:type="dxa"/>
            <w:shd w:val="clear" w:color="auto" w:fill="92CDDC" w:themeFill="accent5" w:themeFillTint="99"/>
            <w:vAlign w:val="center"/>
          </w:tcPr>
          <w:p>
            <w:pPr>
              <w:jc w:val="right"/>
              <w:rPr>
                <w:rFonts w:hint="default" w:asciiTheme="minorEastAsia" w:hAnsiTheme="minorEastAsia" w:eastAsiaTheme="minorEastAsia"/>
                <w:b/>
                <w:bCs/>
                <w:color w:val="1F497D" w:themeColor="text2"/>
                <w:sz w:val="20"/>
                <w:szCs w:val="20"/>
                <w:highlight w:val="none"/>
                <w:lang w:val="en-US" w:eastAsia="zh-CN"/>
                <w14:textFill>
                  <w14:solidFill>
                    <w14:schemeClr w14:val="tx2"/>
                  </w14:solidFill>
                </w14:textFill>
              </w:rPr>
            </w:pPr>
            <w:r>
              <w:rPr>
                <w:rFonts w:hint="eastAsia" w:asciiTheme="minorEastAsia" w:hAnsiTheme="minorEastAsia" w:eastAsiaTheme="minorEastAsia"/>
                <w:b/>
                <w:bCs/>
                <w:color w:val="1F497D" w:themeColor="text2"/>
                <w:sz w:val="20"/>
                <w:szCs w:val="20"/>
                <w:lang w:val="en-US" w:eastAsia="zh-CN"/>
                <w14:textFill>
                  <w14:solidFill>
                    <w14:schemeClr w14:val="tx2"/>
                  </w14:solidFill>
                </w14:textFill>
              </w:rPr>
              <w:t>1.17</w:t>
            </w:r>
          </w:p>
        </w:tc>
      </w:tr>
      <w:tr>
        <w:tblPrEx>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Ex>
        <w:tc>
          <w:tcPr>
            <w:tcW w:w="2275" w:type="dxa"/>
            <w:tcBorders>
              <w:top w:val="single" w:color="FFFFFF" w:themeColor="background1" w:sz="8" w:space="0"/>
              <w:left w:val="single" w:color="FFFFFF" w:themeColor="background1" w:sz="8" w:space="0"/>
              <w:bottom w:val="single" w:color="FFFFFF" w:themeColor="background1" w:sz="8" w:space="0"/>
              <w:right w:val="single" w:color="FFFFFF" w:themeColor="background1" w:sz="24" w:space="0"/>
              <w:insideH w:val="single" w:sz="8" w:space="0"/>
              <w:insideV w:val="single" w:sz="24" w:space="0"/>
            </w:tcBorders>
            <w:shd w:val="clear" w:color="auto" w:fill="4BACC6" w:themeFill="accent5"/>
          </w:tcPr>
          <w:p>
            <w:pPr>
              <w:jc w:val="center"/>
              <w:rPr>
                <w:rFonts w:asciiTheme="minorEastAsia" w:hAnsiTheme="minorEastAsia" w:eastAsiaTheme="minorEastAsia"/>
                <w:b/>
                <w:bCs/>
                <w:i w:val="0"/>
                <w:iCs w:val="0"/>
                <w:color w:val="FFFFFF" w:themeColor="background1"/>
                <w:sz w:val="20"/>
                <w:szCs w:val="20"/>
                <w:lang w:val="ru-RU"/>
                <w14:textFill>
                  <w14:solidFill>
                    <w14:schemeClr w14:val="bg1"/>
                  </w14:solidFill>
                </w14:textFill>
              </w:rPr>
            </w:pPr>
            <w:r>
              <w:rPr>
                <w:rFonts w:hint="eastAsia" w:asciiTheme="minorEastAsia" w:hAnsiTheme="minorEastAsia" w:eastAsiaTheme="minorEastAsia"/>
                <w:b/>
                <w:bCs/>
                <w:i w:val="0"/>
                <w:iCs w:val="0"/>
                <w:color w:val="FFFFFF" w:themeColor="background1"/>
                <w:sz w:val="20"/>
                <w:szCs w:val="20"/>
                <w:lang w:val="ru-RU"/>
                <w14:textFill>
                  <w14:solidFill>
                    <w14:schemeClr w14:val="bg1"/>
                  </w14:solidFill>
                </w14:textFill>
              </w:rPr>
              <w:t>总计</w:t>
            </w:r>
          </w:p>
        </w:tc>
        <w:tc>
          <w:tcPr>
            <w:tcW w:w="2625"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tcPr>
          <w:p>
            <w:pPr>
              <w:jc w:val="center"/>
              <w:rPr>
                <w:rFonts w:asciiTheme="minorEastAsia" w:hAnsiTheme="minorEastAsia" w:eastAsiaTheme="minorEastAsia"/>
                <w:sz w:val="20"/>
                <w:szCs w:val="20"/>
                <w:lang w:val="ru-RU"/>
              </w:rPr>
            </w:pPr>
          </w:p>
        </w:tc>
        <w:tc>
          <w:tcPr>
            <w:tcW w:w="1225"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vAlign w:val="top"/>
          </w:tcPr>
          <w:p>
            <w:pPr>
              <w:jc w:val="center"/>
              <w:rPr>
                <w:rFonts w:hint="default" w:asciiTheme="minorEastAsia" w:hAnsiTheme="minorEastAsia" w:eastAsiaTheme="minorEastAsia"/>
                <w:b/>
                <w:bCs/>
                <w:sz w:val="20"/>
                <w:szCs w:val="20"/>
                <w:lang w:val="en-US" w:eastAsia="zh-CN"/>
              </w:rPr>
            </w:pPr>
            <w:r>
              <w:rPr>
                <w:rFonts w:hint="eastAsia" w:asciiTheme="minorEastAsia" w:hAnsiTheme="minorEastAsia" w:eastAsiaTheme="minorEastAsia"/>
                <w:b/>
                <w:bCs/>
                <w:sz w:val="20"/>
                <w:szCs w:val="20"/>
                <w:lang w:val="en-US" w:eastAsia="zh-CN"/>
              </w:rPr>
              <w:t>4022</w:t>
            </w:r>
          </w:p>
        </w:tc>
        <w:tc>
          <w:tcPr>
            <w:tcW w:w="1487"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vAlign w:val="top"/>
          </w:tcPr>
          <w:p>
            <w:pPr>
              <w:jc w:val="center"/>
              <w:rPr>
                <w:rFonts w:hint="default" w:asciiTheme="minorEastAsia" w:hAnsiTheme="minorEastAsia" w:eastAsiaTheme="minorEastAsia"/>
                <w:b/>
                <w:bCs/>
                <w:sz w:val="20"/>
                <w:szCs w:val="20"/>
                <w:lang w:val="en-US" w:eastAsia="zh-CN"/>
              </w:rPr>
            </w:pPr>
            <w:r>
              <w:rPr>
                <w:rFonts w:hint="eastAsia" w:asciiTheme="minorEastAsia" w:hAnsiTheme="minorEastAsia" w:eastAsiaTheme="minorEastAsia"/>
                <w:b/>
                <w:bCs/>
                <w:sz w:val="20"/>
                <w:szCs w:val="20"/>
                <w:lang w:val="en-US" w:eastAsia="zh-CN"/>
              </w:rPr>
              <w:t>213</w:t>
            </w:r>
          </w:p>
        </w:tc>
        <w:tc>
          <w:tcPr>
            <w:tcW w:w="1250" w:type="dxa"/>
            <w:tcBorders>
              <w:top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2CDDC"/>
            <w:vAlign w:val="top"/>
          </w:tcPr>
          <w:p>
            <w:pPr>
              <w:jc w:val="center"/>
              <w:rPr>
                <w:rFonts w:hint="default" w:cs="Times New Roman" w:asciiTheme="minorEastAsia" w:hAnsiTheme="minorEastAsia" w:eastAsiaTheme="minorEastAsia"/>
                <w:kern w:val="2"/>
                <w:sz w:val="20"/>
                <w:szCs w:val="20"/>
                <w:lang w:val="en-US" w:eastAsia="zh-CN" w:bidi="ar-SA"/>
              </w:rPr>
            </w:pPr>
            <w:r>
              <w:rPr>
                <w:rFonts w:hint="eastAsia" w:asciiTheme="minorEastAsia" w:hAnsiTheme="minorEastAsia" w:eastAsiaTheme="minorEastAsia"/>
                <w:b/>
                <w:bCs/>
                <w:sz w:val="20"/>
                <w:szCs w:val="20"/>
                <w:lang w:val="en-US" w:eastAsia="zh-CN"/>
              </w:rPr>
              <w:t>5.30</w:t>
            </w:r>
          </w:p>
        </w:tc>
      </w:tr>
    </w:tbl>
    <w:p>
      <w:pPr>
        <w:numPr>
          <w:ilvl w:val="0"/>
          <w:numId w:val="0"/>
        </w:numPr>
        <w:ind w:leftChars="0"/>
        <w:jc w:val="left"/>
        <w:rPr>
          <w:rFonts w:hint="eastAsia"/>
          <w:sz w:val="28"/>
          <w:szCs w:val="28"/>
          <w:lang w:val="en-US" w:eastAsia="zh-CN"/>
        </w:rPr>
      </w:pPr>
    </w:p>
    <w:p>
      <w:pPr>
        <w:numPr>
          <w:ilvl w:val="0"/>
          <w:numId w:val="0"/>
        </w:numPr>
        <w:ind w:leftChars="0"/>
        <w:jc w:val="left"/>
        <w:rPr>
          <w:rFonts w:hint="eastAsia"/>
          <w:sz w:val="28"/>
          <w:szCs w:val="28"/>
          <w:lang w:val="en-US" w:eastAsia="zh-CN"/>
        </w:rPr>
      </w:pPr>
      <w:r>
        <w:rPr>
          <w:rFonts w:hint="eastAsia"/>
          <w:sz w:val="28"/>
          <w:szCs w:val="28"/>
          <w:lang w:val="en-US" w:eastAsia="zh-CN"/>
        </w:rPr>
        <w:t>二、自由职业评价与反馈</w:t>
      </w:r>
    </w:p>
    <w:p>
      <w:pPr>
        <w:numPr>
          <w:ilvl w:val="0"/>
          <w:numId w:val="0"/>
        </w:numPr>
        <w:ind w:leftChars="0"/>
        <w:jc w:val="left"/>
        <w:rPr>
          <w:rFonts w:hint="default"/>
          <w:sz w:val="28"/>
          <w:szCs w:val="28"/>
          <w:lang w:val="en-US" w:eastAsia="zh-CN"/>
        </w:rPr>
      </w:pPr>
      <w:r>
        <w:rPr>
          <w:rFonts w:hint="eastAsia"/>
          <w:sz w:val="28"/>
          <w:szCs w:val="28"/>
          <w:lang w:val="en-US" w:eastAsia="zh-CN"/>
        </w:rPr>
        <w:t>（一）自由职业专业相关度</w:t>
      </w:r>
    </w:p>
    <w:p>
      <w:pPr>
        <w:ind w:firstLine="560" w:firstLineChars="200"/>
        <w:jc w:val="left"/>
        <w:rPr>
          <w:rFonts w:hint="eastAsia"/>
          <w:sz w:val="28"/>
          <w:szCs w:val="28"/>
          <w:lang w:val="ru-RU"/>
        </w:rPr>
      </w:pPr>
      <w:r>
        <w:rPr>
          <w:rFonts w:hint="eastAsia"/>
          <w:sz w:val="28"/>
          <w:szCs w:val="28"/>
          <w:lang w:val="ru-RU"/>
        </w:rPr>
        <w:t>根据调研数据统计，</w:t>
      </w:r>
      <w:r>
        <w:rPr>
          <w:rFonts w:hint="eastAsia"/>
          <w:sz w:val="28"/>
          <w:szCs w:val="28"/>
          <w:lang w:val="en-US" w:eastAsia="zh-CN"/>
        </w:rPr>
        <w:t>2023</w:t>
      </w:r>
      <w:r>
        <w:rPr>
          <w:rFonts w:hint="eastAsia"/>
          <w:sz w:val="28"/>
          <w:szCs w:val="28"/>
          <w:lang w:val="ru-RU"/>
        </w:rPr>
        <w:t>届毕业生毕业生自由职业专业相关度为</w:t>
      </w:r>
      <w:r>
        <w:rPr>
          <w:rFonts w:hint="eastAsia"/>
          <w:sz w:val="28"/>
          <w:szCs w:val="28"/>
          <w:lang w:val="en-US" w:eastAsia="zh-CN"/>
        </w:rPr>
        <w:t>27.59</w:t>
      </w:r>
      <w:r>
        <w:rPr>
          <w:rFonts w:hint="eastAsia"/>
          <w:sz w:val="28"/>
          <w:szCs w:val="28"/>
          <w:lang w:val="ru-RU"/>
        </w:rPr>
        <w:t>%</w:t>
      </w:r>
      <w:r>
        <w:rPr>
          <w:rFonts w:hint="default"/>
          <w:sz w:val="28"/>
          <w:szCs w:val="28"/>
          <w:lang w:val="ru-RU"/>
        </w:rPr>
        <w:t>，其中“非常相关”占比</w:t>
      </w:r>
      <w:r>
        <w:rPr>
          <w:rFonts w:hint="eastAsia"/>
          <w:sz w:val="28"/>
          <w:szCs w:val="28"/>
          <w:lang w:val="en-US" w:eastAsia="zh-CN"/>
        </w:rPr>
        <w:t>2.16</w:t>
      </w:r>
      <w:r>
        <w:rPr>
          <w:rFonts w:hint="default"/>
          <w:sz w:val="28"/>
          <w:szCs w:val="28"/>
          <w:lang w:val="ru-RU"/>
        </w:rPr>
        <w:t>%，“ 相关 ”占比</w:t>
      </w:r>
      <w:r>
        <w:rPr>
          <w:rFonts w:hint="eastAsia"/>
          <w:sz w:val="28"/>
          <w:szCs w:val="28"/>
          <w:lang w:val="en-US" w:eastAsia="zh-CN"/>
        </w:rPr>
        <w:t>13</w:t>
      </w:r>
      <w:r>
        <w:rPr>
          <w:rFonts w:hint="default"/>
          <w:sz w:val="28"/>
          <w:szCs w:val="28"/>
          <w:lang w:val="ru-RU"/>
        </w:rPr>
        <w:t>.79%，“比较相关”占比</w:t>
      </w:r>
      <w:r>
        <w:rPr>
          <w:rFonts w:hint="eastAsia"/>
          <w:sz w:val="28"/>
          <w:szCs w:val="28"/>
          <w:lang w:val="en-US" w:eastAsia="zh-CN"/>
        </w:rPr>
        <w:t>11.64</w:t>
      </w:r>
      <w:r>
        <w:rPr>
          <w:rFonts w:hint="default"/>
          <w:sz w:val="28"/>
          <w:szCs w:val="28"/>
          <w:lang w:val="ru-RU"/>
        </w:rPr>
        <w:t>%。</w:t>
      </w:r>
    </w:p>
    <w:p>
      <w:pPr>
        <w:ind w:firstLine="560" w:firstLineChars="200"/>
        <w:jc w:val="left"/>
        <w:rPr>
          <w:sz w:val="28"/>
          <w:szCs w:val="28"/>
        </w:rPr>
      </w:pPr>
      <w:r>
        <w:rPr>
          <w:sz w:val="28"/>
          <w:szCs w:val="28"/>
        </w:rPr>
        <w:drawing>
          <wp:inline distT="0" distB="0" distL="0" distR="0">
            <wp:extent cx="4476750" cy="2302510"/>
            <wp:effectExtent l="4445" t="4445" r="14605" b="17145"/>
            <wp:docPr id="23" name="图表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pPr>
        <w:jc w:val="center"/>
        <w:rPr>
          <w:rFonts w:hint="eastAsia" w:asciiTheme="minorEastAsia" w:hAnsiTheme="minorEastAsia" w:eastAsiaTheme="minorEastAsia"/>
          <w:sz w:val="20"/>
          <w:szCs w:val="20"/>
          <w:lang w:val="ru-RU"/>
        </w:rPr>
      </w:pPr>
      <w:r>
        <w:rPr>
          <w:rFonts w:hint="eastAsia" w:asciiTheme="minorEastAsia" w:hAnsiTheme="minorEastAsia" w:eastAsiaTheme="minorEastAsia"/>
          <w:sz w:val="20"/>
          <w:szCs w:val="20"/>
          <w:lang w:val="ru-RU"/>
        </w:rPr>
        <w:t>图</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6</w:t>
      </w:r>
      <w:r>
        <w:rPr>
          <w:rFonts w:asciiTheme="minorEastAsia" w:hAnsiTheme="minorEastAsia" w:eastAsiaTheme="minorEastAsia"/>
          <w:sz w:val="20"/>
          <w:szCs w:val="20"/>
          <w:lang w:val="ru-RU"/>
        </w:rPr>
        <w:t>-</w:t>
      </w:r>
      <w:r>
        <w:rPr>
          <w:rFonts w:hint="eastAsia" w:asciiTheme="minorEastAsia" w:hAnsiTheme="minorEastAsia" w:eastAsiaTheme="minorEastAsia"/>
          <w:sz w:val="20"/>
          <w:szCs w:val="20"/>
          <w:lang w:val="en-US" w:eastAsia="zh-CN"/>
        </w:rPr>
        <w:t xml:space="preserve">1 </w:t>
      </w:r>
      <w:r>
        <w:rPr>
          <w:rFonts w:asciiTheme="minorEastAsia" w:hAnsiTheme="minorEastAsia" w:eastAsiaTheme="minorEastAsia"/>
          <w:sz w:val="20"/>
          <w:szCs w:val="20"/>
          <w:lang w:val="ru-RU"/>
        </w:rPr>
        <w:t xml:space="preserve"> 20</w:t>
      </w:r>
      <w:r>
        <w:rPr>
          <w:rFonts w:hint="eastAsia" w:asciiTheme="minorEastAsia" w:hAnsiTheme="minorEastAsia" w:eastAsiaTheme="minorEastAsia"/>
          <w:sz w:val="20"/>
          <w:szCs w:val="20"/>
          <w:lang w:val="en-US" w:eastAsia="zh-CN"/>
        </w:rPr>
        <w:t>23</w:t>
      </w:r>
      <w:r>
        <w:rPr>
          <w:rFonts w:hint="eastAsia" w:asciiTheme="minorEastAsia" w:hAnsiTheme="minorEastAsia" w:eastAsiaTheme="minorEastAsia"/>
          <w:sz w:val="20"/>
          <w:szCs w:val="20"/>
          <w:lang w:val="ru-RU"/>
        </w:rPr>
        <w:t>届毕业生</w:t>
      </w:r>
      <w:r>
        <w:rPr>
          <w:rFonts w:ascii="monospace" w:hAnsi="monospace" w:eastAsia="monospace" w:cs="monospace"/>
          <w:sz w:val="18"/>
          <w:szCs w:val="18"/>
        </w:rPr>
        <w:t>自</w:t>
      </w:r>
      <w:r>
        <w:rPr>
          <w:rFonts w:hint="default" w:ascii="monospace" w:hAnsi="monospace" w:eastAsia="monospace" w:cs="monospace"/>
          <w:sz w:val="18"/>
          <w:szCs w:val="18"/>
        </w:rPr>
        <w:t>由职业专业相关度</w:t>
      </w:r>
    </w:p>
    <w:p>
      <w:pPr>
        <w:numPr>
          <w:ilvl w:val="0"/>
          <w:numId w:val="0"/>
        </w:numPr>
        <w:jc w:val="left"/>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注：自由职业相关度=非常相关+比较相关+相关</w:t>
      </w:r>
    </w:p>
    <w:p>
      <w:pPr>
        <w:pStyle w:val="6"/>
        <w:rPr>
          <w:rFonts w:hint="default"/>
          <w:lang w:val="en-US" w:eastAsia="zh-CN"/>
        </w:rPr>
      </w:pPr>
    </w:p>
    <w:p>
      <w:pPr>
        <w:numPr>
          <w:ilvl w:val="0"/>
          <w:numId w:val="0"/>
        </w:numPr>
        <w:ind w:leftChars="0"/>
        <w:jc w:val="left"/>
        <w:rPr>
          <w:rFonts w:hint="eastAsia"/>
          <w:sz w:val="28"/>
          <w:szCs w:val="28"/>
          <w:lang w:val="en-US" w:eastAsia="zh-CN"/>
        </w:rPr>
      </w:pPr>
      <w:r>
        <w:rPr>
          <w:rFonts w:hint="eastAsia"/>
          <w:sz w:val="28"/>
          <w:szCs w:val="28"/>
          <w:lang w:val="en-US" w:eastAsia="zh-CN"/>
        </w:rPr>
        <w:t>（二）</w:t>
      </w:r>
      <w:r>
        <w:rPr>
          <w:rFonts w:hint="default"/>
          <w:sz w:val="28"/>
          <w:szCs w:val="28"/>
          <w:lang w:val="en-US" w:eastAsia="zh-CN"/>
        </w:rPr>
        <w:t>自由职业理想一致</w:t>
      </w:r>
      <w:r>
        <w:rPr>
          <w:rFonts w:hint="eastAsia"/>
          <w:sz w:val="28"/>
          <w:szCs w:val="28"/>
          <w:lang w:val="en-US" w:eastAsia="zh-CN"/>
        </w:rPr>
        <w:t>性</w:t>
      </w:r>
    </w:p>
    <w:p>
      <w:pPr>
        <w:ind w:firstLine="560" w:firstLineChars="200"/>
        <w:jc w:val="left"/>
        <w:rPr>
          <w:rFonts w:hint="eastAsia" w:eastAsia="宋体"/>
          <w:sz w:val="28"/>
          <w:szCs w:val="28"/>
          <w:lang w:val="en-US" w:eastAsia="zh-CN"/>
        </w:rPr>
      </w:pPr>
      <w:r>
        <w:rPr>
          <w:rFonts w:hint="eastAsia"/>
          <w:sz w:val="28"/>
          <w:szCs w:val="28"/>
          <w:lang w:val="ru-RU"/>
        </w:rPr>
        <w:t>根据调研数据统计，</w:t>
      </w:r>
      <w:r>
        <w:rPr>
          <w:rFonts w:hint="eastAsia"/>
          <w:sz w:val="28"/>
          <w:szCs w:val="28"/>
          <w:lang w:val="en-US" w:eastAsia="zh-CN"/>
        </w:rPr>
        <w:t>2023</w:t>
      </w:r>
      <w:r>
        <w:rPr>
          <w:rFonts w:hint="eastAsia"/>
          <w:sz w:val="28"/>
          <w:szCs w:val="28"/>
          <w:lang w:val="ru-RU"/>
        </w:rPr>
        <w:t>届毕业生</w:t>
      </w:r>
      <w:r>
        <w:rPr>
          <w:sz w:val="28"/>
          <w:szCs w:val="28"/>
          <w:lang w:val="ru-RU"/>
        </w:rPr>
        <w:t>毕业生自由职业理想一致</w:t>
      </w:r>
      <w:r>
        <w:rPr>
          <w:rFonts w:hint="eastAsia"/>
          <w:sz w:val="28"/>
          <w:szCs w:val="28"/>
          <w:lang w:val="en-US" w:eastAsia="zh-CN"/>
        </w:rPr>
        <w:t>性</w:t>
      </w:r>
      <w:r>
        <w:rPr>
          <w:sz w:val="28"/>
          <w:szCs w:val="28"/>
          <w:lang w:val="ru-RU"/>
        </w:rPr>
        <w:t>为</w:t>
      </w:r>
      <w:r>
        <w:rPr>
          <w:rFonts w:hint="eastAsia"/>
          <w:sz w:val="28"/>
          <w:szCs w:val="28"/>
          <w:lang w:val="en-US" w:eastAsia="zh-CN"/>
        </w:rPr>
        <w:t>33.19</w:t>
      </w:r>
      <w:r>
        <w:rPr>
          <w:sz w:val="28"/>
          <w:szCs w:val="28"/>
          <w:lang w:val="ru-RU"/>
        </w:rPr>
        <w:t>%</w:t>
      </w:r>
      <w:r>
        <w:rPr>
          <w:rFonts w:hint="default"/>
          <w:sz w:val="28"/>
          <w:szCs w:val="28"/>
          <w:lang w:val="ru-RU"/>
        </w:rPr>
        <w:t>，其中 “非常一致”占比</w:t>
      </w:r>
      <w:r>
        <w:rPr>
          <w:rFonts w:hint="eastAsia"/>
          <w:sz w:val="28"/>
          <w:szCs w:val="28"/>
          <w:lang w:val="en-US" w:eastAsia="zh-CN"/>
        </w:rPr>
        <w:t>3.88</w:t>
      </w:r>
      <w:r>
        <w:rPr>
          <w:rFonts w:hint="default"/>
          <w:sz w:val="28"/>
          <w:szCs w:val="28"/>
          <w:lang w:val="ru-RU"/>
        </w:rPr>
        <w:t>%，“ 一致 ”占比</w:t>
      </w:r>
      <w:r>
        <w:rPr>
          <w:rFonts w:hint="eastAsia"/>
          <w:sz w:val="28"/>
          <w:szCs w:val="28"/>
          <w:lang w:val="en-US" w:eastAsia="zh-CN"/>
        </w:rPr>
        <w:t>12</w:t>
      </w:r>
      <w:r>
        <w:rPr>
          <w:rFonts w:hint="default"/>
          <w:sz w:val="28"/>
          <w:szCs w:val="28"/>
          <w:lang w:val="ru-RU"/>
        </w:rPr>
        <w:t>.07%，“比较一致”占比</w:t>
      </w:r>
      <w:r>
        <w:rPr>
          <w:rFonts w:hint="eastAsia"/>
          <w:sz w:val="28"/>
          <w:szCs w:val="28"/>
          <w:lang w:val="en-US" w:eastAsia="zh-CN"/>
        </w:rPr>
        <w:t>17.24</w:t>
      </w:r>
      <w:r>
        <w:rPr>
          <w:rFonts w:hint="default"/>
          <w:sz w:val="28"/>
          <w:szCs w:val="28"/>
          <w:lang w:val="ru-RU"/>
        </w:rPr>
        <w:t>%</w:t>
      </w:r>
      <w:r>
        <w:rPr>
          <w:rFonts w:hint="eastAsia"/>
          <w:sz w:val="28"/>
          <w:szCs w:val="28"/>
          <w:lang w:val="ru-RU" w:eastAsia="zh-CN"/>
        </w:rPr>
        <w:t>。</w:t>
      </w:r>
    </w:p>
    <w:p>
      <w:pPr>
        <w:jc w:val="left"/>
        <w:rPr>
          <w:sz w:val="28"/>
          <w:szCs w:val="28"/>
          <w:lang w:val="ru-RU"/>
        </w:rPr>
      </w:pPr>
      <w:r>
        <w:rPr>
          <w:rFonts w:hint="eastAsia"/>
          <w:sz w:val="28"/>
          <w:szCs w:val="28"/>
          <w:lang w:val="en-US" w:eastAsia="zh-CN"/>
        </w:rPr>
        <w:t xml:space="preserve">     </w:t>
      </w:r>
      <w:r>
        <w:rPr>
          <w:sz w:val="28"/>
          <w:szCs w:val="28"/>
        </w:rPr>
        <w:drawing>
          <wp:inline distT="0" distB="0" distL="0" distR="0">
            <wp:extent cx="4476750" cy="2302510"/>
            <wp:effectExtent l="4445" t="4445" r="14605" b="17145"/>
            <wp:docPr id="22" name="图表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pPr>
        <w:jc w:val="center"/>
        <w:rPr>
          <w:rFonts w:hint="eastAsia" w:asciiTheme="minorEastAsia" w:hAnsiTheme="minorEastAsia" w:eastAsiaTheme="minorEastAsia"/>
          <w:sz w:val="20"/>
          <w:szCs w:val="20"/>
          <w:lang w:val="ru-RU"/>
        </w:rPr>
      </w:pPr>
      <w:r>
        <w:rPr>
          <w:rFonts w:hint="eastAsia" w:asciiTheme="minorEastAsia" w:hAnsiTheme="minorEastAsia" w:eastAsiaTheme="minorEastAsia"/>
          <w:sz w:val="20"/>
          <w:szCs w:val="20"/>
          <w:lang w:val="ru-RU"/>
        </w:rPr>
        <w:t>图</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6</w:t>
      </w:r>
      <w:r>
        <w:rPr>
          <w:rFonts w:asciiTheme="minorEastAsia" w:hAnsiTheme="minorEastAsia" w:eastAsiaTheme="minorEastAsia"/>
          <w:sz w:val="20"/>
          <w:szCs w:val="20"/>
          <w:lang w:val="ru-RU"/>
        </w:rPr>
        <w:t>-</w:t>
      </w:r>
      <w:r>
        <w:rPr>
          <w:rFonts w:hint="eastAsia" w:asciiTheme="minorEastAsia" w:hAnsiTheme="minorEastAsia" w:eastAsiaTheme="minorEastAsia"/>
          <w:sz w:val="20"/>
          <w:szCs w:val="20"/>
          <w:lang w:val="en-US" w:eastAsia="zh-CN"/>
        </w:rPr>
        <w:t xml:space="preserve">2 </w:t>
      </w:r>
      <w:r>
        <w:rPr>
          <w:rFonts w:asciiTheme="minorEastAsia" w:hAnsiTheme="minorEastAsia" w:eastAsiaTheme="minorEastAsia"/>
          <w:sz w:val="20"/>
          <w:szCs w:val="20"/>
          <w:lang w:val="ru-RU"/>
        </w:rPr>
        <w:t xml:space="preserve"> 20</w:t>
      </w:r>
      <w:r>
        <w:rPr>
          <w:rFonts w:hint="eastAsia" w:asciiTheme="minorEastAsia" w:hAnsiTheme="minorEastAsia" w:eastAsiaTheme="minorEastAsia"/>
          <w:sz w:val="20"/>
          <w:szCs w:val="20"/>
          <w:lang w:val="en-US" w:eastAsia="zh-CN"/>
        </w:rPr>
        <w:t>23</w:t>
      </w:r>
      <w:r>
        <w:rPr>
          <w:rFonts w:hint="eastAsia" w:asciiTheme="minorEastAsia" w:hAnsiTheme="minorEastAsia" w:eastAsiaTheme="minorEastAsia"/>
          <w:sz w:val="20"/>
          <w:szCs w:val="20"/>
          <w:lang w:val="ru-RU"/>
        </w:rPr>
        <w:t>届毕业生</w:t>
      </w:r>
      <w:r>
        <w:rPr>
          <w:rFonts w:hint="eastAsia" w:asciiTheme="minorEastAsia" w:hAnsiTheme="minorEastAsia" w:eastAsiaTheme="minorEastAsia"/>
          <w:sz w:val="20"/>
          <w:szCs w:val="20"/>
          <w:lang w:val="en-US" w:eastAsia="zh-CN"/>
        </w:rPr>
        <w:t>自由职业理想</w:t>
      </w:r>
      <w:r>
        <w:rPr>
          <w:rFonts w:hint="eastAsia" w:asciiTheme="minorEastAsia" w:hAnsiTheme="minorEastAsia" w:eastAsiaTheme="minorEastAsia"/>
          <w:sz w:val="20"/>
          <w:szCs w:val="20"/>
          <w:lang w:val="ru-RU"/>
        </w:rPr>
        <w:t>一致性</w:t>
      </w:r>
    </w:p>
    <w:p>
      <w:pPr>
        <w:numPr>
          <w:ilvl w:val="0"/>
          <w:numId w:val="0"/>
        </w:numPr>
        <w:jc w:val="left"/>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注：自由职业理想一致性=非常一致+比较一致+一致</w:t>
      </w:r>
    </w:p>
    <w:p>
      <w:pPr>
        <w:pStyle w:val="6"/>
        <w:rPr>
          <w:rFonts w:hint="default" w:asciiTheme="minorEastAsia" w:hAnsiTheme="minorEastAsia" w:eastAsiaTheme="minorEastAsia"/>
          <w:sz w:val="20"/>
          <w:szCs w:val="20"/>
          <w:lang w:val="en-US" w:eastAsia="zh-CN"/>
        </w:rPr>
      </w:pPr>
    </w:p>
    <w:p>
      <w:pPr>
        <w:numPr>
          <w:ilvl w:val="0"/>
          <w:numId w:val="0"/>
        </w:numPr>
        <w:jc w:val="both"/>
        <w:rPr>
          <w:rFonts w:hint="eastAsia"/>
          <w:sz w:val="28"/>
          <w:szCs w:val="28"/>
          <w:lang w:val="en-US" w:eastAsia="zh-CN"/>
        </w:rPr>
      </w:pPr>
      <w:r>
        <w:rPr>
          <w:rFonts w:hint="eastAsia"/>
          <w:sz w:val="28"/>
          <w:szCs w:val="28"/>
          <w:lang w:val="en-US" w:eastAsia="zh-CN"/>
        </w:rPr>
        <w:t>（三）自由职业月收入分布范围</w:t>
      </w:r>
    </w:p>
    <w:p>
      <w:pPr>
        <w:numPr>
          <w:ilvl w:val="0"/>
          <w:numId w:val="0"/>
        </w:numPr>
        <w:ind w:firstLine="560" w:firstLineChars="200"/>
        <w:jc w:val="both"/>
        <w:rPr>
          <w:rFonts w:hint="default" w:asciiTheme="minorEastAsia" w:hAnsiTheme="minorEastAsia" w:eastAsiaTheme="minorEastAsia"/>
          <w:sz w:val="20"/>
          <w:szCs w:val="20"/>
          <w:lang w:val="en-US" w:eastAsia="zh-CN"/>
        </w:rPr>
      </w:pPr>
      <w:r>
        <w:rPr>
          <w:rFonts w:hint="eastAsia"/>
          <w:sz w:val="28"/>
          <w:szCs w:val="28"/>
          <w:lang w:val="en-US" w:eastAsia="zh-CN"/>
        </w:rPr>
        <w:t>调研数据显示，</w:t>
      </w:r>
      <w:r>
        <w:rPr>
          <w:rFonts w:hint="eastAsia"/>
          <w:sz w:val="28"/>
          <w:szCs w:val="28"/>
          <w:highlight w:val="none"/>
          <w:lang w:val="en-US" w:eastAsia="zh-CN"/>
        </w:rPr>
        <w:t>2023届</w:t>
      </w:r>
      <w:r>
        <w:rPr>
          <w:rFonts w:hint="eastAsia"/>
          <w:sz w:val="28"/>
          <w:szCs w:val="28"/>
          <w:lang w:val="en-US" w:eastAsia="zh-CN"/>
        </w:rPr>
        <w:t>毕业生自由职业平均月收入（实发到手工资）主要集中在“3001-4000元”（34.05%）、其次为“3000元以下”（26.73%）、“4001-5000元”（21.98%）。</w:t>
      </w:r>
    </w:p>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图</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6</w:t>
      </w:r>
      <w:r>
        <w:rPr>
          <w:rFonts w:asciiTheme="minorEastAsia" w:hAnsiTheme="minorEastAsia" w:eastAsiaTheme="minorEastAsia"/>
          <w:sz w:val="20"/>
          <w:szCs w:val="20"/>
          <w:lang w:val="ru-RU"/>
        </w:rPr>
        <w:t>-</w:t>
      </w:r>
      <w:r>
        <w:rPr>
          <w:rFonts w:hint="eastAsia" w:asciiTheme="minorEastAsia" w:hAnsiTheme="minorEastAsia" w:eastAsiaTheme="minorEastAsia"/>
          <w:sz w:val="20"/>
          <w:szCs w:val="20"/>
          <w:lang w:val="en-US" w:eastAsia="zh-CN"/>
        </w:rPr>
        <w:t xml:space="preserve">3  </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2023届毕业生自由职业月收入分布范围</w:t>
      </w:r>
    </w:p>
    <w:p>
      <w:pPr>
        <w:ind w:firstLine="560" w:firstLineChars="200"/>
        <w:jc w:val="center"/>
        <w:rPr>
          <w:rFonts w:hint="eastAsia"/>
          <w:sz w:val="36"/>
          <w:szCs w:val="36"/>
          <w:highlight w:val="none"/>
          <w:lang w:val="en-US" w:eastAsia="zh-CN"/>
        </w:rPr>
      </w:pPr>
      <w:r>
        <w:rPr>
          <w:rFonts w:hint="default"/>
          <w:sz w:val="28"/>
          <w:szCs w:val="28"/>
          <w:lang w:val="en-US" w:eastAsia="zh-CN"/>
        </w:rPr>
        <w:drawing>
          <wp:inline distT="0" distB="0" distL="114300" distR="114300">
            <wp:extent cx="4754245" cy="2643505"/>
            <wp:effectExtent l="4445" t="4445" r="22860" b="19050"/>
            <wp:docPr id="24" name="图表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pPr>
        <w:ind w:firstLine="720" w:firstLineChars="200"/>
        <w:jc w:val="center"/>
        <w:rPr>
          <w:rFonts w:hint="eastAsia"/>
          <w:sz w:val="36"/>
          <w:szCs w:val="36"/>
          <w:highlight w:val="none"/>
          <w:lang w:val="en-US" w:eastAsia="zh-CN"/>
        </w:rPr>
      </w:pPr>
    </w:p>
    <w:p>
      <w:pPr>
        <w:jc w:val="both"/>
        <w:rPr>
          <w:rFonts w:hint="eastAsia"/>
          <w:sz w:val="36"/>
          <w:szCs w:val="36"/>
          <w:highlight w:val="none"/>
          <w:lang w:val="en-US" w:eastAsia="zh-CN"/>
        </w:rPr>
      </w:pPr>
    </w:p>
    <w:p>
      <w:pPr>
        <w:pStyle w:val="6"/>
        <w:rPr>
          <w:rFonts w:hint="eastAsia"/>
          <w:sz w:val="36"/>
          <w:szCs w:val="36"/>
          <w:highlight w:val="none"/>
          <w:lang w:val="en-US" w:eastAsia="zh-CN"/>
        </w:rPr>
      </w:pPr>
    </w:p>
    <w:p>
      <w:pPr>
        <w:pStyle w:val="2"/>
        <w:rPr>
          <w:rFonts w:hint="eastAsia"/>
          <w:lang w:val="en-US" w:eastAsia="zh-CN"/>
        </w:rPr>
      </w:pPr>
    </w:p>
    <w:p>
      <w:pPr>
        <w:ind w:firstLine="720" w:firstLineChars="200"/>
        <w:jc w:val="center"/>
        <w:rPr>
          <w:rFonts w:hint="eastAsia"/>
          <w:sz w:val="36"/>
          <w:szCs w:val="36"/>
          <w:highlight w:val="yellow"/>
          <w:lang w:val="en-US" w:eastAsia="zh-CN"/>
        </w:rPr>
      </w:pPr>
      <w:r>
        <w:rPr>
          <w:rFonts w:hint="eastAsia"/>
          <w:sz w:val="36"/>
          <w:szCs w:val="36"/>
          <w:highlight w:val="none"/>
          <w:lang w:val="en-US" w:eastAsia="zh-CN"/>
        </w:rPr>
        <w:t>第七章 未就业毕业生情况</w:t>
      </w:r>
    </w:p>
    <w:p>
      <w:pPr>
        <w:numPr>
          <w:ilvl w:val="0"/>
          <w:numId w:val="0"/>
        </w:numPr>
        <w:jc w:val="left"/>
        <w:rPr>
          <w:rFonts w:hint="default"/>
          <w:sz w:val="28"/>
          <w:szCs w:val="28"/>
          <w:highlight w:val="none"/>
          <w:lang w:val="en-US" w:eastAsia="zh-CN"/>
        </w:rPr>
      </w:pPr>
      <w:r>
        <w:rPr>
          <w:rFonts w:hint="eastAsia"/>
          <w:sz w:val="28"/>
          <w:szCs w:val="28"/>
          <w:highlight w:val="none"/>
          <w:lang w:val="en-US" w:eastAsia="zh-CN"/>
        </w:rPr>
        <w:t>一、未就业状况</w:t>
      </w:r>
    </w:p>
    <w:p>
      <w:pPr>
        <w:ind w:firstLine="560" w:firstLineChars="200"/>
        <w:jc w:val="left"/>
        <w:rPr>
          <w:rFonts w:hint="eastAsia"/>
          <w:sz w:val="28"/>
          <w:szCs w:val="28"/>
          <w:highlight w:val="none"/>
          <w:lang w:val="en-US" w:eastAsia="zh-CN"/>
        </w:rPr>
      </w:pPr>
      <w:r>
        <w:rPr>
          <w:rFonts w:hint="eastAsia"/>
          <w:sz w:val="28"/>
          <w:szCs w:val="28"/>
          <w:highlight w:val="none"/>
          <w:lang w:val="en-US" w:eastAsia="zh-CN"/>
        </w:rPr>
        <w:t>2023届未就业毕业生共有177人，其中处于求职中状态156人（占比88.14%），处于暂不就业状态15人（占比8.47%），处于拟应征入伍状态5人（占比2.82%），处于不就业拟升学1人（占比0.56%）。</w:t>
      </w:r>
    </w:p>
    <w:p>
      <w:pPr>
        <w:pStyle w:val="6"/>
        <w:rPr>
          <w:rFonts w:hint="default"/>
          <w:lang w:val="en-US" w:eastAsia="zh-CN"/>
        </w:rPr>
      </w:pPr>
    </w:p>
    <w:p>
      <w:pPr>
        <w:numPr>
          <w:ilvl w:val="0"/>
          <w:numId w:val="0"/>
        </w:numPr>
        <w:ind w:leftChars="0"/>
        <w:jc w:val="left"/>
        <w:rPr>
          <w:rFonts w:hint="eastAsia"/>
          <w:sz w:val="28"/>
          <w:szCs w:val="28"/>
          <w:lang w:val="en-US" w:eastAsia="zh-CN"/>
        </w:rPr>
      </w:pPr>
      <w:r>
        <w:rPr>
          <w:rFonts w:hint="eastAsia"/>
          <w:sz w:val="28"/>
          <w:szCs w:val="28"/>
          <w:lang w:val="en-US" w:eastAsia="zh-CN"/>
        </w:rPr>
        <w:t>二、未就业评价与反馈</w:t>
      </w:r>
    </w:p>
    <w:p>
      <w:pPr>
        <w:jc w:val="left"/>
        <w:rPr>
          <w:rFonts w:hint="eastAsia"/>
          <w:sz w:val="28"/>
          <w:szCs w:val="28"/>
          <w:highlight w:val="none"/>
          <w:lang w:val="en-US" w:eastAsia="zh-CN"/>
        </w:rPr>
      </w:pPr>
      <w:r>
        <w:rPr>
          <w:rFonts w:hint="eastAsia"/>
          <w:sz w:val="28"/>
          <w:szCs w:val="28"/>
          <w:highlight w:val="none"/>
          <w:lang w:val="en-US" w:eastAsia="zh-CN"/>
        </w:rPr>
        <w:t>（一）未就业毕业生暂未成功就业的主要原因</w:t>
      </w:r>
    </w:p>
    <w:p>
      <w:pPr>
        <w:keepNext w:val="0"/>
        <w:keepLines w:val="0"/>
        <w:widowControl/>
        <w:suppressLineNumbers w:val="0"/>
        <w:ind w:firstLine="560" w:firstLineChars="200"/>
        <w:jc w:val="left"/>
        <w:rPr>
          <w:rFonts w:hint="default"/>
          <w:sz w:val="28"/>
          <w:szCs w:val="28"/>
          <w:highlight w:val="none"/>
          <w:lang w:val="en-US" w:eastAsia="zh-CN"/>
        </w:rPr>
      </w:pPr>
      <w:r>
        <w:rPr>
          <w:rFonts w:hint="eastAsia"/>
          <w:sz w:val="28"/>
          <w:szCs w:val="28"/>
          <w:highlight w:val="none"/>
          <w:lang w:val="en-US" w:eastAsia="zh-CN"/>
        </w:rPr>
        <w:t>调研数据显示，尚未就业的毕业生暂未成功就业的主要原因排名前三位的分别是“缺乏相关实习、实践经验”（28.23%）、“有工作意向，还在观望”（23.92%）</w:t>
      </w:r>
      <w:r>
        <w:rPr>
          <w:rFonts w:hint="eastAsia"/>
          <w:sz w:val="28"/>
          <w:szCs w:val="28"/>
          <w:lang w:val="en-US" w:eastAsia="zh-CN"/>
        </w:rPr>
        <w:t>、“其他”（9.57%）。</w:t>
      </w:r>
    </w:p>
    <w:p>
      <w:pPr>
        <w:ind w:firstLine="400" w:firstLineChars="200"/>
        <w:jc w:val="center"/>
        <w:rPr>
          <w:rFonts w:hint="default"/>
          <w:sz w:val="28"/>
          <w:szCs w:val="28"/>
          <w:lang w:val="en-US" w:eastAsia="zh-CN"/>
        </w:rPr>
      </w:pPr>
      <w:r>
        <w:rPr>
          <w:rFonts w:hint="eastAsia" w:asciiTheme="minorEastAsia" w:hAnsiTheme="minorEastAsia" w:eastAsiaTheme="minorEastAsia"/>
          <w:sz w:val="20"/>
          <w:szCs w:val="20"/>
          <w:lang w:val="en-US" w:eastAsia="zh-CN"/>
        </w:rPr>
        <w:t>图</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7</w:t>
      </w:r>
      <w:r>
        <w:rPr>
          <w:rFonts w:asciiTheme="minorEastAsia" w:hAnsiTheme="minorEastAsia" w:eastAsiaTheme="minorEastAsia"/>
          <w:sz w:val="20"/>
          <w:szCs w:val="20"/>
          <w:lang w:val="ru-RU"/>
        </w:rPr>
        <w:t>-</w:t>
      </w:r>
      <w:r>
        <w:rPr>
          <w:rFonts w:hint="eastAsia" w:asciiTheme="minorEastAsia" w:hAnsiTheme="minorEastAsia" w:eastAsiaTheme="minorEastAsia"/>
          <w:sz w:val="20"/>
          <w:szCs w:val="20"/>
          <w:lang w:val="en-US" w:eastAsia="zh-CN"/>
        </w:rPr>
        <w:t>1  2023届毕业生暂未成功就业原因</w:t>
      </w:r>
    </w:p>
    <w:p>
      <w:pPr>
        <w:numPr>
          <w:ilvl w:val="0"/>
          <w:numId w:val="0"/>
        </w:numPr>
        <w:jc w:val="left"/>
        <w:rPr>
          <w:rFonts w:hint="eastAsia"/>
          <w:sz w:val="28"/>
          <w:szCs w:val="28"/>
          <w:lang w:val="en-US" w:eastAsia="zh-CN"/>
        </w:rPr>
      </w:pPr>
      <w:r>
        <w:rPr>
          <w:rFonts w:hint="eastAsia"/>
          <w:sz w:val="28"/>
          <w:szCs w:val="28"/>
          <w:lang w:val="en-US" w:eastAsia="zh-CN"/>
        </w:rPr>
        <w:t xml:space="preserve">  </w:t>
      </w:r>
      <w:r>
        <w:rPr>
          <w:rFonts w:hint="eastAsia"/>
          <w:sz w:val="28"/>
          <w:szCs w:val="28"/>
          <w:lang w:val="en-US" w:eastAsia="zh-CN"/>
        </w:rPr>
        <w:drawing>
          <wp:inline distT="0" distB="0" distL="114300" distR="114300">
            <wp:extent cx="4969510" cy="2524125"/>
            <wp:effectExtent l="4445" t="4445" r="17145" b="5080"/>
            <wp:docPr id="44" name="图表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pPr>
        <w:pStyle w:val="6"/>
        <w:rPr>
          <w:rFonts w:hint="default"/>
          <w:lang w:val="en-US" w:eastAsia="zh-CN"/>
        </w:rPr>
      </w:pPr>
    </w:p>
    <w:p>
      <w:pPr>
        <w:numPr>
          <w:ilvl w:val="0"/>
          <w:numId w:val="0"/>
        </w:numPr>
        <w:jc w:val="left"/>
        <w:rPr>
          <w:rFonts w:hint="eastAsia"/>
          <w:sz w:val="28"/>
          <w:szCs w:val="28"/>
          <w:lang w:val="en-US" w:eastAsia="zh-CN"/>
        </w:rPr>
      </w:pPr>
      <w:r>
        <w:rPr>
          <w:rFonts w:hint="eastAsia"/>
          <w:sz w:val="28"/>
          <w:szCs w:val="28"/>
          <w:lang w:val="en-US" w:eastAsia="zh-CN"/>
        </w:rPr>
        <w:t>（二）未就业毕业生求职关注的因素分析</w:t>
      </w:r>
    </w:p>
    <w:p>
      <w:pPr>
        <w:numPr>
          <w:ilvl w:val="0"/>
          <w:numId w:val="0"/>
        </w:numPr>
        <w:ind w:firstLine="560" w:firstLineChars="200"/>
        <w:jc w:val="left"/>
        <w:rPr>
          <w:rFonts w:hint="default"/>
          <w:sz w:val="28"/>
          <w:szCs w:val="28"/>
          <w:lang w:val="en-US" w:eastAsia="zh-CN"/>
        </w:rPr>
      </w:pPr>
      <w:r>
        <w:rPr>
          <w:rFonts w:hint="eastAsia"/>
          <w:sz w:val="28"/>
          <w:szCs w:val="28"/>
          <w:lang w:val="en-US" w:eastAsia="zh-CN"/>
        </w:rPr>
        <w:t>调研数据显示，尚未就业的毕业生求职关注因素排名前三位的主要是“工作稳定性”（52.63%）、“薪酬水平”（48.33%）、“岗位发展前景”（40.19%）。这表明，毕业生在求职时不仅仅只注重薪酬水平，还注重长远发展。</w:t>
      </w:r>
      <w:r>
        <w:rPr>
          <w:rFonts w:hint="default"/>
          <w:sz w:val="28"/>
          <w:szCs w:val="28"/>
          <w:lang w:val="en-US" w:eastAsia="zh-CN"/>
        </w:rPr>
        <w:drawing>
          <wp:inline distT="0" distB="0" distL="114300" distR="114300">
            <wp:extent cx="6371590" cy="2791460"/>
            <wp:effectExtent l="4445" t="4445" r="5715" b="23495"/>
            <wp:docPr id="84" name="图表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pPr>
        <w:ind w:firstLine="400" w:firstLineChars="200"/>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图</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7</w:t>
      </w:r>
      <w:r>
        <w:rPr>
          <w:rFonts w:asciiTheme="minorEastAsia" w:hAnsiTheme="minorEastAsia" w:eastAsiaTheme="minorEastAsia"/>
          <w:sz w:val="20"/>
          <w:szCs w:val="20"/>
          <w:lang w:val="ru-RU"/>
        </w:rPr>
        <w:t>-</w:t>
      </w:r>
      <w:r>
        <w:rPr>
          <w:rFonts w:hint="eastAsia" w:asciiTheme="minorEastAsia" w:hAnsiTheme="minorEastAsia" w:eastAsiaTheme="minorEastAsia"/>
          <w:sz w:val="20"/>
          <w:szCs w:val="20"/>
          <w:lang w:val="en-US" w:eastAsia="zh-CN"/>
        </w:rPr>
        <w:t>2  2023届毕业生求职关注因素（多选题）</w:t>
      </w:r>
    </w:p>
    <w:p>
      <w:pPr>
        <w:pStyle w:val="6"/>
        <w:rPr>
          <w:rFonts w:hint="eastAsia"/>
          <w:lang w:val="en-US" w:eastAsia="zh-CN"/>
        </w:rPr>
      </w:pPr>
    </w:p>
    <w:p>
      <w:pPr>
        <w:numPr>
          <w:ilvl w:val="0"/>
          <w:numId w:val="0"/>
        </w:numPr>
        <w:jc w:val="left"/>
        <w:rPr>
          <w:rFonts w:hint="eastAsia"/>
          <w:sz w:val="28"/>
          <w:szCs w:val="28"/>
          <w:lang w:val="en-US" w:eastAsia="zh-CN"/>
        </w:rPr>
      </w:pPr>
      <w:r>
        <w:rPr>
          <w:rFonts w:hint="eastAsia"/>
          <w:sz w:val="28"/>
          <w:szCs w:val="28"/>
          <w:lang w:val="en-US" w:eastAsia="zh-CN"/>
        </w:rPr>
        <w:t>（三）未就业毕业生求职面试的用人单位数量</w:t>
      </w:r>
    </w:p>
    <w:p>
      <w:pPr>
        <w:numPr>
          <w:ilvl w:val="0"/>
          <w:numId w:val="0"/>
        </w:numPr>
        <w:ind w:leftChars="0" w:firstLine="560"/>
        <w:jc w:val="left"/>
        <w:rPr>
          <w:rFonts w:hint="eastAsia"/>
          <w:sz w:val="28"/>
          <w:szCs w:val="28"/>
          <w:lang w:val="en-US" w:eastAsia="zh-CN"/>
        </w:rPr>
      </w:pPr>
      <w:r>
        <w:rPr>
          <w:rFonts w:hint="eastAsia"/>
          <w:sz w:val="28"/>
          <w:szCs w:val="28"/>
          <w:lang w:val="en-US" w:eastAsia="zh-CN"/>
        </w:rPr>
        <w:t>调研数据显示，56.94%的未就业毕业生目前参加面试的用人单位数量主要集中在“1-3家”；有13.87%的毕业生面试了“4-6家”。还有15.31%的毕业生没有获得面试机会。</w:t>
      </w:r>
    </w:p>
    <w:p>
      <w:pPr>
        <w:ind w:firstLine="400" w:firstLineChars="200"/>
        <w:jc w:val="center"/>
        <w:rPr>
          <w:rFonts w:hint="default"/>
          <w:sz w:val="28"/>
          <w:szCs w:val="28"/>
          <w:lang w:val="en-US" w:eastAsia="zh-CN"/>
        </w:rPr>
      </w:pPr>
      <w:r>
        <w:rPr>
          <w:rFonts w:hint="eastAsia" w:asciiTheme="minorEastAsia" w:hAnsiTheme="minorEastAsia" w:eastAsiaTheme="minorEastAsia"/>
          <w:sz w:val="20"/>
          <w:szCs w:val="20"/>
          <w:lang w:val="en-US" w:eastAsia="zh-CN"/>
        </w:rPr>
        <w:t>图</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7</w:t>
      </w:r>
      <w:r>
        <w:rPr>
          <w:rFonts w:asciiTheme="minorEastAsia" w:hAnsiTheme="minorEastAsia" w:eastAsiaTheme="minorEastAsia"/>
          <w:sz w:val="20"/>
          <w:szCs w:val="20"/>
          <w:lang w:val="ru-RU"/>
        </w:rPr>
        <w:t>-</w:t>
      </w:r>
      <w:r>
        <w:rPr>
          <w:rFonts w:hint="eastAsia" w:asciiTheme="minorEastAsia" w:hAnsiTheme="minorEastAsia" w:eastAsiaTheme="minorEastAsia"/>
          <w:sz w:val="20"/>
          <w:szCs w:val="20"/>
          <w:lang w:val="en-US" w:eastAsia="zh-CN"/>
        </w:rPr>
        <w:t>3  2023届毕业生求职面试的用人单位数量</w:t>
      </w:r>
    </w:p>
    <w:p>
      <w:pPr>
        <w:numPr>
          <w:ilvl w:val="0"/>
          <w:numId w:val="0"/>
        </w:numPr>
        <w:ind w:leftChars="0" w:firstLine="560"/>
        <w:jc w:val="left"/>
        <w:rPr>
          <w:rFonts w:hint="default"/>
          <w:sz w:val="28"/>
          <w:szCs w:val="28"/>
          <w:lang w:val="en-US" w:eastAsia="zh-CN"/>
        </w:rPr>
      </w:pPr>
      <w:r>
        <w:rPr>
          <w:rFonts w:hint="default"/>
          <w:sz w:val="28"/>
          <w:szCs w:val="28"/>
          <w:lang w:val="en-US" w:eastAsia="zh-CN"/>
        </w:rPr>
        <w:drawing>
          <wp:inline distT="0" distB="0" distL="114300" distR="114300">
            <wp:extent cx="4558030" cy="2485390"/>
            <wp:effectExtent l="4445" t="4445" r="9525" b="5715"/>
            <wp:docPr id="62" name="图表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pPr>
        <w:pStyle w:val="6"/>
        <w:rPr>
          <w:rFonts w:hint="default"/>
          <w:lang w:val="en-US" w:eastAsia="zh-CN"/>
        </w:rPr>
      </w:pPr>
    </w:p>
    <w:p>
      <w:pPr>
        <w:numPr>
          <w:ilvl w:val="0"/>
          <w:numId w:val="0"/>
        </w:numPr>
        <w:jc w:val="left"/>
        <w:rPr>
          <w:rFonts w:hint="default"/>
          <w:sz w:val="28"/>
          <w:szCs w:val="28"/>
          <w:highlight w:val="none"/>
          <w:lang w:val="en-US" w:eastAsia="zh-CN"/>
        </w:rPr>
      </w:pPr>
      <w:r>
        <w:rPr>
          <w:rFonts w:hint="eastAsia"/>
          <w:sz w:val="28"/>
          <w:szCs w:val="28"/>
          <w:highlight w:val="none"/>
          <w:lang w:val="en-US" w:eastAsia="zh-CN"/>
        </w:rPr>
        <w:t>（四）未就业毕业生求职困难</w:t>
      </w:r>
    </w:p>
    <w:p>
      <w:pPr>
        <w:ind w:firstLine="560"/>
        <w:jc w:val="left"/>
        <w:rPr>
          <w:rFonts w:hint="eastAsia"/>
          <w:sz w:val="28"/>
          <w:szCs w:val="28"/>
          <w:lang w:val="en-US" w:eastAsia="zh-CN"/>
        </w:rPr>
      </w:pPr>
      <w:r>
        <w:rPr>
          <w:rFonts w:hint="eastAsia"/>
          <w:sz w:val="28"/>
          <w:szCs w:val="28"/>
          <w:lang w:val="en-US" w:eastAsia="zh-CN"/>
        </w:rPr>
        <w:t>调研数据显示，“实践经验缺乏”（35.89%）、“适合自己专业和学历的岗位不多”（35.89%）和“用人单位待遇和条件不符合预期”（26.32%）”是未就业人群遇到的主要困难。</w:t>
      </w:r>
      <w:r>
        <w:rPr>
          <w:rFonts w:hint="eastAsia"/>
          <w:sz w:val="28"/>
          <w:szCs w:val="28"/>
          <w:lang w:val="en-US" w:eastAsia="zh-CN"/>
        </w:rPr>
        <w:drawing>
          <wp:inline distT="0" distB="0" distL="114300" distR="114300">
            <wp:extent cx="5344160" cy="2191385"/>
            <wp:effectExtent l="4445" t="4445" r="23495" b="13970"/>
            <wp:docPr id="63" name="图表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pPr>
        <w:ind w:firstLine="400" w:firstLineChars="200"/>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图</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7</w:t>
      </w:r>
      <w:r>
        <w:rPr>
          <w:rFonts w:asciiTheme="minorEastAsia" w:hAnsiTheme="minorEastAsia" w:eastAsiaTheme="minorEastAsia"/>
          <w:sz w:val="20"/>
          <w:szCs w:val="20"/>
          <w:lang w:val="ru-RU"/>
        </w:rPr>
        <w:t>-</w:t>
      </w:r>
      <w:r>
        <w:rPr>
          <w:rFonts w:hint="eastAsia" w:asciiTheme="minorEastAsia" w:hAnsiTheme="minorEastAsia" w:eastAsiaTheme="minorEastAsia"/>
          <w:sz w:val="20"/>
          <w:szCs w:val="20"/>
          <w:lang w:val="en-US" w:eastAsia="zh-CN"/>
        </w:rPr>
        <w:t>4  2023届毕业生求职中遇到的困难（多选题）</w:t>
      </w:r>
    </w:p>
    <w:p>
      <w:pPr>
        <w:pStyle w:val="6"/>
        <w:rPr>
          <w:rFonts w:hint="eastAsia"/>
          <w:lang w:val="en-US" w:eastAsia="zh-CN"/>
        </w:rPr>
      </w:pPr>
    </w:p>
    <w:p>
      <w:pPr>
        <w:numPr>
          <w:ilvl w:val="0"/>
          <w:numId w:val="0"/>
        </w:numPr>
        <w:jc w:val="left"/>
        <w:rPr>
          <w:rFonts w:hint="default"/>
          <w:sz w:val="28"/>
          <w:szCs w:val="28"/>
          <w:highlight w:val="none"/>
          <w:lang w:val="en-US" w:eastAsia="zh-CN"/>
        </w:rPr>
      </w:pPr>
      <w:r>
        <w:rPr>
          <w:rFonts w:hint="eastAsia"/>
          <w:sz w:val="28"/>
          <w:szCs w:val="28"/>
          <w:highlight w:val="none"/>
          <w:lang w:val="en-US" w:eastAsia="zh-CN"/>
        </w:rPr>
        <w:t>（五）未就业毕业生求职期望帮扶</w:t>
      </w:r>
    </w:p>
    <w:p>
      <w:pPr>
        <w:ind w:firstLine="560" w:firstLineChars="200"/>
        <w:jc w:val="left"/>
        <w:rPr>
          <w:rFonts w:hint="eastAsia"/>
          <w:sz w:val="28"/>
          <w:szCs w:val="28"/>
          <w:lang w:val="en-US" w:eastAsia="zh-CN"/>
        </w:rPr>
      </w:pPr>
      <w:r>
        <w:rPr>
          <w:rFonts w:hint="eastAsia"/>
          <w:sz w:val="28"/>
          <w:szCs w:val="28"/>
          <w:lang w:val="en-US" w:eastAsia="zh-CN"/>
        </w:rPr>
        <w:t>调研数据显示，未就业毕业生求职过程中期望得到的主要帮扶为“求职技能培训”（38.76%）、“增加职位信息发布”（28.71%）、“求职补贴”（28.71%）。</w:t>
      </w:r>
    </w:p>
    <w:p>
      <w:pPr>
        <w:pStyle w:val="10"/>
        <w:ind w:left="0" w:leftChars="0" w:firstLine="0" w:firstLineChars="0"/>
        <w:rPr>
          <w:rFonts w:hint="default"/>
          <w:sz w:val="28"/>
          <w:szCs w:val="28"/>
          <w:lang w:val="en-US" w:eastAsia="zh-CN"/>
        </w:rPr>
      </w:pPr>
      <w:r>
        <w:rPr>
          <w:rFonts w:hint="eastAsia"/>
          <w:sz w:val="28"/>
          <w:szCs w:val="28"/>
          <w:lang w:val="en-US" w:eastAsia="zh-CN"/>
        </w:rPr>
        <w:drawing>
          <wp:inline distT="0" distB="0" distL="114300" distR="114300">
            <wp:extent cx="5354955" cy="2233930"/>
            <wp:effectExtent l="4445" t="4445" r="12700" b="952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pPr>
        <w:ind w:firstLine="400" w:firstLineChars="200"/>
        <w:jc w:val="center"/>
        <w:rPr>
          <w:rFonts w:hint="eastAsia"/>
          <w:lang w:val="en-US" w:eastAsia="zh-CN"/>
        </w:rPr>
      </w:pPr>
      <w:r>
        <w:rPr>
          <w:rFonts w:hint="eastAsia" w:asciiTheme="minorEastAsia" w:hAnsiTheme="minorEastAsia" w:eastAsiaTheme="minorEastAsia"/>
          <w:sz w:val="20"/>
          <w:szCs w:val="20"/>
          <w:lang w:val="en-US" w:eastAsia="zh-CN"/>
        </w:rPr>
        <w:t>图</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7</w:t>
      </w:r>
      <w:r>
        <w:rPr>
          <w:rFonts w:asciiTheme="minorEastAsia" w:hAnsiTheme="minorEastAsia" w:eastAsiaTheme="minorEastAsia"/>
          <w:sz w:val="20"/>
          <w:szCs w:val="20"/>
          <w:lang w:val="ru-RU"/>
        </w:rPr>
        <w:t>-</w:t>
      </w:r>
      <w:r>
        <w:rPr>
          <w:rFonts w:hint="eastAsia" w:asciiTheme="minorEastAsia" w:hAnsiTheme="minorEastAsia" w:eastAsiaTheme="minorEastAsia"/>
          <w:sz w:val="20"/>
          <w:szCs w:val="20"/>
          <w:lang w:val="en-US" w:eastAsia="zh-CN"/>
        </w:rPr>
        <w:t>5  2023届未就业毕业生期望帮扶（多选题）</w:t>
      </w:r>
    </w:p>
    <w:p>
      <w:pPr>
        <w:jc w:val="center"/>
        <w:rPr>
          <w:rFonts w:hint="eastAsia"/>
          <w:sz w:val="36"/>
          <w:szCs w:val="36"/>
          <w:highlight w:val="none"/>
          <w:lang w:val="en-US" w:eastAsia="zh-CN"/>
        </w:rPr>
      </w:pPr>
    </w:p>
    <w:p>
      <w:pPr>
        <w:jc w:val="center"/>
        <w:rPr>
          <w:rFonts w:hint="default"/>
          <w:sz w:val="36"/>
          <w:szCs w:val="36"/>
          <w:highlight w:val="none"/>
          <w:lang w:val="en-US" w:eastAsia="zh-CN"/>
        </w:rPr>
      </w:pPr>
      <w:r>
        <w:rPr>
          <w:rFonts w:hint="eastAsia"/>
          <w:sz w:val="36"/>
          <w:szCs w:val="36"/>
          <w:highlight w:val="none"/>
          <w:lang w:val="en-US" w:eastAsia="zh-CN"/>
        </w:rPr>
        <w:t>第八章 母校评价</w:t>
      </w:r>
    </w:p>
    <w:p>
      <w:pPr>
        <w:ind w:firstLine="0" w:firstLineChars="0"/>
        <w:jc w:val="left"/>
        <w:rPr>
          <w:rFonts w:hint="eastAsia"/>
          <w:sz w:val="28"/>
          <w:szCs w:val="28"/>
          <w:highlight w:val="none"/>
          <w:lang w:val="en-US" w:eastAsia="zh-CN"/>
        </w:rPr>
      </w:pPr>
      <w:r>
        <w:rPr>
          <w:rFonts w:hint="eastAsia"/>
          <w:sz w:val="28"/>
          <w:szCs w:val="28"/>
          <w:highlight w:val="none"/>
          <w:lang w:val="en-US" w:eastAsia="zh-CN"/>
        </w:rPr>
        <w:t>一、母校满意度</w:t>
      </w:r>
    </w:p>
    <w:p>
      <w:pPr>
        <w:ind w:firstLine="0" w:firstLineChars="0"/>
        <w:jc w:val="left"/>
        <w:rPr>
          <w:rFonts w:hint="eastAsia"/>
          <w:sz w:val="28"/>
          <w:szCs w:val="28"/>
          <w:highlight w:val="none"/>
          <w:lang w:val="en-US" w:eastAsia="zh-CN"/>
        </w:rPr>
      </w:pPr>
      <w:r>
        <w:rPr>
          <w:rFonts w:hint="eastAsia"/>
          <w:sz w:val="28"/>
          <w:szCs w:val="28"/>
          <w:highlight w:val="none"/>
          <w:lang w:val="en-US" w:eastAsia="zh-CN"/>
        </w:rPr>
        <w:t>（一）母校总体满意度</w:t>
      </w:r>
    </w:p>
    <w:p>
      <w:pPr>
        <w:ind w:firstLine="560" w:firstLineChars="200"/>
        <w:jc w:val="left"/>
        <w:rPr>
          <w:rFonts w:hint="default"/>
          <w:sz w:val="28"/>
          <w:szCs w:val="28"/>
          <w:highlight w:val="none"/>
          <w:lang w:val="en-US" w:eastAsia="zh-CN"/>
        </w:rPr>
      </w:pPr>
      <w:r>
        <w:rPr>
          <w:rFonts w:hint="eastAsia"/>
          <w:sz w:val="28"/>
          <w:szCs w:val="28"/>
          <w:highlight w:val="none"/>
          <w:lang w:val="en-US" w:eastAsia="zh-CN"/>
        </w:rPr>
        <w:t>调研数据显示，2023届毕业生对母校的总体满意度为95.87%，其中“非常满意”占比46.12%，“比较满意”占比32.81%，“满意 ”占比16.94%。</w:t>
      </w:r>
    </w:p>
    <w:p>
      <w:pPr>
        <w:ind w:firstLine="560" w:firstLineChars="200"/>
        <w:jc w:val="left"/>
        <w:rPr>
          <w:rFonts w:hint="eastAsia" w:eastAsia="宋体"/>
          <w:sz w:val="28"/>
          <w:szCs w:val="28"/>
          <w:highlight w:val="none"/>
          <w:lang w:val="en-US" w:eastAsia="zh-CN"/>
        </w:rPr>
      </w:pPr>
      <w:r>
        <w:rPr>
          <w:rFonts w:hint="eastAsia" w:eastAsia="宋体"/>
          <w:sz w:val="28"/>
          <w:szCs w:val="28"/>
          <w:highlight w:val="none"/>
          <w:lang w:val="en-US" w:eastAsia="zh-CN"/>
        </w:rPr>
        <w:drawing>
          <wp:inline distT="0" distB="0" distL="114300" distR="114300">
            <wp:extent cx="4462145" cy="2312035"/>
            <wp:effectExtent l="4445" t="4445" r="10160" b="7620"/>
            <wp:docPr id="54" name="图表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pPr>
        <w:jc w:val="center"/>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图</w:t>
      </w:r>
      <w:r>
        <w:rPr>
          <w:rFonts w:asciiTheme="minorEastAsia" w:hAnsiTheme="minorEastAsia" w:eastAsiaTheme="minorEastAsia"/>
          <w:sz w:val="20"/>
          <w:szCs w:val="20"/>
          <w:highlight w:val="none"/>
          <w:lang w:val="ru-RU"/>
        </w:rPr>
        <w:t xml:space="preserve"> </w:t>
      </w:r>
      <w:r>
        <w:rPr>
          <w:rFonts w:hint="eastAsia" w:asciiTheme="minorEastAsia" w:hAnsiTheme="minorEastAsia" w:eastAsiaTheme="minorEastAsia"/>
          <w:sz w:val="20"/>
          <w:szCs w:val="20"/>
          <w:highlight w:val="none"/>
          <w:lang w:val="en-US" w:eastAsia="zh-CN"/>
        </w:rPr>
        <w:t>8</w:t>
      </w:r>
      <w:r>
        <w:rPr>
          <w:rFonts w:asciiTheme="minorEastAsia" w:hAnsiTheme="minorEastAsia" w:eastAsiaTheme="minorEastAsia"/>
          <w:sz w:val="20"/>
          <w:szCs w:val="20"/>
          <w:highlight w:val="none"/>
          <w:lang w:val="ru-RU"/>
        </w:rPr>
        <w:t>-</w:t>
      </w:r>
      <w:r>
        <w:rPr>
          <w:rFonts w:hint="eastAsia" w:asciiTheme="minorEastAsia" w:hAnsiTheme="minorEastAsia" w:eastAsiaTheme="minorEastAsia"/>
          <w:sz w:val="20"/>
          <w:szCs w:val="20"/>
          <w:highlight w:val="none"/>
          <w:lang w:val="en-US" w:eastAsia="zh-CN"/>
        </w:rPr>
        <w:t>1  2023届毕业生对母校满意度</w:t>
      </w:r>
    </w:p>
    <w:p>
      <w:pPr>
        <w:jc w:val="left"/>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注：母校满意度=非常满意+比较满意+满意</w:t>
      </w:r>
    </w:p>
    <w:p>
      <w:pPr>
        <w:jc w:val="left"/>
        <w:rPr>
          <w:rFonts w:hint="default" w:asciiTheme="minorEastAsia" w:hAnsiTheme="minorEastAsia" w:eastAsiaTheme="minorEastAsia"/>
          <w:sz w:val="20"/>
          <w:szCs w:val="20"/>
          <w:lang w:val="en-US" w:eastAsia="zh-CN"/>
        </w:rPr>
      </w:pPr>
    </w:p>
    <w:p>
      <w:pPr>
        <w:ind w:firstLine="0" w:firstLineChars="0"/>
        <w:jc w:val="left"/>
        <w:rPr>
          <w:rFonts w:hint="eastAsia"/>
          <w:sz w:val="28"/>
          <w:szCs w:val="28"/>
          <w:highlight w:val="none"/>
          <w:lang w:val="en-US" w:eastAsia="zh-CN"/>
        </w:rPr>
      </w:pPr>
      <w:r>
        <w:rPr>
          <w:rFonts w:hint="eastAsia"/>
          <w:sz w:val="28"/>
          <w:szCs w:val="28"/>
          <w:highlight w:val="none"/>
          <w:lang w:val="en-US" w:eastAsia="zh-CN"/>
        </w:rPr>
        <w:t>（二）母校推荐度</w:t>
      </w:r>
    </w:p>
    <w:p>
      <w:pPr>
        <w:ind w:firstLine="560" w:firstLineChars="200"/>
        <w:jc w:val="left"/>
        <w:rPr>
          <w:rFonts w:hint="eastAsia"/>
          <w:sz w:val="28"/>
          <w:szCs w:val="28"/>
          <w:highlight w:val="none"/>
          <w:lang w:val="en-US" w:eastAsia="zh-CN"/>
        </w:rPr>
      </w:pPr>
      <w:r>
        <w:rPr>
          <w:rFonts w:hint="eastAsia"/>
          <w:sz w:val="28"/>
          <w:szCs w:val="28"/>
          <w:lang w:val="en-US" w:eastAsia="zh-CN"/>
        </w:rPr>
        <w:t>调研数据显示，</w:t>
      </w:r>
      <w:r>
        <w:rPr>
          <w:rFonts w:hint="eastAsia"/>
          <w:sz w:val="28"/>
          <w:szCs w:val="28"/>
          <w:highlight w:val="none"/>
          <w:lang w:val="en-US" w:eastAsia="zh-CN"/>
        </w:rPr>
        <w:t>2023届毕业生对母校的总体推荐度为92.6%，其中“非常愿意”占比38.08，“比较愿意”占比38.21%，“愿意”占比16.31%。</w:t>
      </w:r>
    </w:p>
    <w:p>
      <w:pPr>
        <w:ind w:firstLine="560" w:firstLineChars="200"/>
        <w:jc w:val="left"/>
        <w:rPr>
          <w:rFonts w:hint="eastAsia" w:eastAsia="宋体"/>
          <w:sz w:val="28"/>
          <w:szCs w:val="28"/>
          <w:lang w:val="en-US" w:eastAsia="zh-CN"/>
        </w:rPr>
      </w:pPr>
      <w:r>
        <w:rPr>
          <w:rFonts w:hint="eastAsia" w:eastAsia="宋体"/>
          <w:sz w:val="28"/>
          <w:szCs w:val="28"/>
          <w:lang w:val="en-US" w:eastAsia="zh-CN"/>
        </w:rPr>
        <w:drawing>
          <wp:inline distT="0" distB="0" distL="114300" distR="114300">
            <wp:extent cx="4137025" cy="1845310"/>
            <wp:effectExtent l="4445" t="4445" r="11430" b="17145"/>
            <wp:docPr id="55" name="图表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图</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8</w:t>
      </w:r>
      <w:r>
        <w:rPr>
          <w:rFonts w:asciiTheme="minorEastAsia" w:hAnsiTheme="minorEastAsia" w:eastAsiaTheme="minorEastAsia"/>
          <w:sz w:val="20"/>
          <w:szCs w:val="20"/>
          <w:lang w:val="ru-RU"/>
        </w:rPr>
        <w:t>-</w:t>
      </w:r>
      <w:r>
        <w:rPr>
          <w:rFonts w:hint="eastAsia" w:asciiTheme="minorEastAsia" w:hAnsiTheme="minorEastAsia" w:eastAsiaTheme="minorEastAsia"/>
          <w:sz w:val="20"/>
          <w:szCs w:val="20"/>
          <w:lang w:val="en-US" w:eastAsia="zh-CN"/>
        </w:rPr>
        <w:t>2  2023届毕业生对母校推荐度</w:t>
      </w:r>
    </w:p>
    <w:p>
      <w:pPr>
        <w:jc w:val="left"/>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注：母校推荐度=非常愿意+比较愿意+愿意</w:t>
      </w:r>
    </w:p>
    <w:p>
      <w:pPr>
        <w:jc w:val="left"/>
        <w:rPr>
          <w:rFonts w:hint="default" w:asciiTheme="minorEastAsia" w:hAnsiTheme="minorEastAsia" w:eastAsiaTheme="minorEastAsia"/>
          <w:sz w:val="20"/>
          <w:szCs w:val="20"/>
          <w:lang w:val="en-US" w:eastAsia="zh-CN"/>
        </w:rPr>
      </w:pPr>
    </w:p>
    <w:p>
      <w:pPr>
        <w:ind w:firstLine="0" w:firstLineChars="0"/>
        <w:jc w:val="left"/>
        <w:rPr>
          <w:rFonts w:hint="default" w:eastAsia="宋体"/>
          <w:sz w:val="28"/>
          <w:szCs w:val="28"/>
          <w:highlight w:val="none"/>
          <w:lang w:val="en-US" w:eastAsia="zh-CN"/>
        </w:rPr>
      </w:pPr>
      <w:r>
        <w:rPr>
          <w:rFonts w:hint="eastAsia"/>
          <w:sz w:val="28"/>
          <w:szCs w:val="28"/>
          <w:highlight w:val="none"/>
          <w:lang w:val="en-US" w:eastAsia="zh-CN"/>
        </w:rPr>
        <w:t>二、教育教学评价</w:t>
      </w:r>
    </w:p>
    <w:p>
      <w:pPr>
        <w:ind w:firstLine="560" w:firstLineChars="200"/>
        <w:jc w:val="left"/>
        <w:rPr>
          <w:rFonts w:hint="eastAsia"/>
          <w:sz w:val="28"/>
          <w:szCs w:val="28"/>
          <w:highlight w:val="none"/>
        </w:rPr>
      </w:pPr>
      <w:r>
        <w:rPr>
          <w:rFonts w:hint="eastAsia"/>
          <w:sz w:val="28"/>
          <w:szCs w:val="28"/>
          <w:highlight w:val="none"/>
        </w:rPr>
        <w:t>近年来学</w:t>
      </w:r>
      <w:r>
        <w:rPr>
          <w:rFonts w:hint="eastAsia"/>
          <w:sz w:val="28"/>
          <w:szCs w:val="28"/>
          <w:highlight w:val="none"/>
          <w:lang w:val="en-US" w:eastAsia="zh-CN"/>
        </w:rPr>
        <w:t>校</w:t>
      </w:r>
      <w:r>
        <w:rPr>
          <w:rFonts w:hint="eastAsia"/>
          <w:sz w:val="28"/>
          <w:szCs w:val="28"/>
          <w:highlight w:val="none"/>
        </w:rPr>
        <w:t>本着以就业为导向，以服务为宗旨的理念深化教育教学改革，</w:t>
      </w:r>
      <w:r>
        <w:rPr>
          <w:rFonts w:hint="eastAsia"/>
          <w:sz w:val="28"/>
          <w:szCs w:val="28"/>
          <w:highlight w:val="none"/>
          <w:lang w:val="en-US" w:eastAsia="zh-CN"/>
        </w:rPr>
        <w:t>以“严谨、博学、敬业、奉献”的教风</w:t>
      </w:r>
      <w:r>
        <w:rPr>
          <w:rFonts w:hint="eastAsia"/>
          <w:sz w:val="28"/>
          <w:szCs w:val="28"/>
          <w:highlight w:val="none"/>
        </w:rPr>
        <w:t>加强专业技能课程教学和技能培训，取得了良好的效果，本届毕业生对学</w:t>
      </w:r>
      <w:r>
        <w:rPr>
          <w:rFonts w:hint="eastAsia"/>
          <w:sz w:val="28"/>
          <w:szCs w:val="28"/>
          <w:highlight w:val="none"/>
          <w:lang w:val="en-US" w:eastAsia="zh-CN"/>
        </w:rPr>
        <w:t>校</w:t>
      </w:r>
      <w:r>
        <w:rPr>
          <w:rFonts w:hint="eastAsia"/>
          <w:sz w:val="28"/>
          <w:szCs w:val="28"/>
          <w:highlight w:val="none"/>
        </w:rPr>
        <w:t>教学工作满意度为</w:t>
      </w:r>
      <w:r>
        <w:rPr>
          <w:rFonts w:hint="eastAsia"/>
          <w:sz w:val="28"/>
          <w:szCs w:val="28"/>
          <w:highlight w:val="none"/>
          <w:lang w:val="en-US" w:eastAsia="zh-CN"/>
        </w:rPr>
        <w:t>89.78</w:t>
      </w:r>
      <w:r>
        <w:rPr>
          <w:rFonts w:hint="eastAsia"/>
          <w:sz w:val="28"/>
          <w:szCs w:val="28"/>
          <w:highlight w:val="none"/>
        </w:rPr>
        <w:t>%。</w:t>
      </w:r>
    </w:p>
    <w:p>
      <w:pPr>
        <w:ind w:firstLine="0" w:firstLineChars="0"/>
        <w:jc w:val="left"/>
        <w:rPr>
          <w:rFonts w:hint="default" w:eastAsia="宋体"/>
          <w:sz w:val="28"/>
          <w:szCs w:val="28"/>
          <w:highlight w:val="none"/>
          <w:lang w:val="en-US" w:eastAsia="zh-CN"/>
        </w:rPr>
      </w:pPr>
      <w:r>
        <w:rPr>
          <w:rFonts w:hint="eastAsia"/>
          <w:sz w:val="28"/>
          <w:szCs w:val="28"/>
          <w:highlight w:val="none"/>
          <w:lang w:eastAsia="zh-CN"/>
        </w:rPr>
        <w:t>（</w:t>
      </w:r>
      <w:r>
        <w:rPr>
          <w:rFonts w:hint="eastAsia"/>
          <w:sz w:val="28"/>
          <w:szCs w:val="28"/>
          <w:highlight w:val="none"/>
          <w:lang w:val="en-US" w:eastAsia="zh-CN"/>
        </w:rPr>
        <w:t>一</w:t>
      </w:r>
      <w:r>
        <w:rPr>
          <w:rFonts w:hint="eastAsia"/>
          <w:sz w:val="28"/>
          <w:szCs w:val="28"/>
          <w:highlight w:val="none"/>
          <w:lang w:eastAsia="zh-CN"/>
        </w:rPr>
        <w:t>）</w:t>
      </w:r>
      <w:r>
        <w:rPr>
          <w:rFonts w:hint="eastAsia"/>
          <w:sz w:val="28"/>
          <w:szCs w:val="28"/>
          <w:highlight w:val="none"/>
          <w:lang w:val="en-US" w:eastAsia="zh-CN"/>
        </w:rPr>
        <w:t>对老师们的整体授课水平评价</w:t>
      </w:r>
    </w:p>
    <w:p>
      <w:pPr>
        <w:ind w:firstLine="560" w:firstLineChars="200"/>
        <w:jc w:val="left"/>
        <w:rPr>
          <w:rFonts w:hint="eastAsia"/>
          <w:sz w:val="28"/>
          <w:szCs w:val="28"/>
          <w:highlight w:val="none"/>
        </w:rPr>
      </w:pPr>
      <w:r>
        <w:rPr>
          <w:rFonts w:hint="eastAsia"/>
          <w:sz w:val="28"/>
          <w:szCs w:val="28"/>
          <w:highlight w:val="none"/>
          <w:lang w:val="en-US" w:eastAsia="zh-CN"/>
        </w:rPr>
        <w:t>调研数据显示，2023届毕业生对老师们的整体授课水平评价较高，其中“非常高”占比17.06%，“高”占比45.89%。</w:t>
      </w:r>
    </w:p>
    <w:p>
      <w:pPr>
        <w:ind w:firstLine="560" w:firstLineChars="200"/>
        <w:jc w:val="left"/>
        <w:rPr>
          <w:sz w:val="28"/>
          <w:szCs w:val="28"/>
          <w:highlight w:val="none"/>
        </w:rPr>
      </w:pPr>
      <w:r>
        <w:rPr>
          <w:sz w:val="28"/>
          <w:szCs w:val="28"/>
          <w:highlight w:val="none"/>
        </w:rPr>
        <w:drawing>
          <wp:inline distT="0" distB="0" distL="0" distR="0">
            <wp:extent cx="4678045" cy="2632075"/>
            <wp:effectExtent l="4445" t="4445" r="22860" b="11430"/>
            <wp:docPr id="48" name="图表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pPr>
        <w:jc w:val="center"/>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rPr>
        <w:t>图</w:t>
      </w:r>
      <w:r>
        <w:rPr>
          <w:rFonts w:hint="eastAsia" w:asciiTheme="minorEastAsia" w:hAnsiTheme="minorEastAsia" w:eastAsiaTheme="minorEastAsia"/>
          <w:sz w:val="20"/>
          <w:szCs w:val="20"/>
          <w:highlight w:val="none"/>
          <w:lang w:val="en-US" w:eastAsia="zh-CN"/>
        </w:rPr>
        <w:t>8</w:t>
      </w:r>
      <w:r>
        <w:rPr>
          <w:rFonts w:hint="eastAsia" w:asciiTheme="minorEastAsia" w:hAnsiTheme="minorEastAsia" w:eastAsiaTheme="minorEastAsia"/>
          <w:sz w:val="20"/>
          <w:szCs w:val="20"/>
          <w:highlight w:val="none"/>
        </w:rPr>
        <w:t>-</w:t>
      </w:r>
      <w:r>
        <w:rPr>
          <w:rFonts w:hint="eastAsia" w:asciiTheme="minorEastAsia" w:hAnsiTheme="minorEastAsia" w:eastAsiaTheme="minorEastAsia"/>
          <w:sz w:val="20"/>
          <w:szCs w:val="20"/>
          <w:highlight w:val="none"/>
          <w:lang w:val="en-US" w:eastAsia="zh-CN"/>
        </w:rPr>
        <w:t>3</w:t>
      </w:r>
      <w:r>
        <w:rPr>
          <w:rFonts w:hint="eastAsia" w:asciiTheme="minorEastAsia" w:hAnsiTheme="minorEastAsia" w:eastAsiaTheme="minorEastAsia"/>
          <w:sz w:val="20"/>
          <w:szCs w:val="20"/>
          <w:highlight w:val="none"/>
        </w:rPr>
        <w:t xml:space="preserve">  20</w:t>
      </w:r>
      <w:r>
        <w:rPr>
          <w:rFonts w:hint="eastAsia" w:asciiTheme="minorEastAsia" w:hAnsiTheme="minorEastAsia" w:eastAsiaTheme="minorEastAsia"/>
          <w:sz w:val="20"/>
          <w:szCs w:val="20"/>
          <w:highlight w:val="none"/>
          <w:lang w:val="en-US" w:eastAsia="zh-CN"/>
        </w:rPr>
        <w:t>23</w:t>
      </w:r>
      <w:r>
        <w:rPr>
          <w:rFonts w:hint="eastAsia" w:asciiTheme="minorEastAsia" w:hAnsiTheme="minorEastAsia" w:eastAsiaTheme="minorEastAsia"/>
          <w:sz w:val="20"/>
          <w:szCs w:val="20"/>
          <w:highlight w:val="none"/>
        </w:rPr>
        <w:t>届毕业生对</w:t>
      </w:r>
      <w:r>
        <w:rPr>
          <w:rFonts w:hint="eastAsia" w:asciiTheme="minorEastAsia" w:hAnsiTheme="minorEastAsia" w:eastAsiaTheme="minorEastAsia"/>
          <w:sz w:val="20"/>
          <w:szCs w:val="20"/>
          <w:highlight w:val="none"/>
          <w:lang w:val="en-US" w:eastAsia="zh-CN"/>
        </w:rPr>
        <w:t>老师们整体授课水平评价</w:t>
      </w:r>
    </w:p>
    <w:p>
      <w:pPr>
        <w:jc w:val="center"/>
        <w:rPr>
          <w:rFonts w:hint="default" w:asciiTheme="minorEastAsia" w:hAnsiTheme="minorEastAsia" w:eastAsiaTheme="minorEastAsia"/>
          <w:sz w:val="20"/>
          <w:szCs w:val="20"/>
          <w:highlight w:val="none"/>
          <w:lang w:val="en-US" w:eastAsia="zh-CN"/>
        </w:rPr>
      </w:pPr>
    </w:p>
    <w:p>
      <w:pPr>
        <w:ind w:firstLine="0" w:firstLineChars="0"/>
        <w:jc w:val="left"/>
        <w:rPr>
          <w:rFonts w:hint="default" w:eastAsia="宋体"/>
          <w:sz w:val="28"/>
          <w:szCs w:val="28"/>
          <w:highlight w:val="none"/>
          <w:lang w:val="en-US" w:eastAsia="zh-CN"/>
        </w:rPr>
      </w:pPr>
      <w:r>
        <w:rPr>
          <w:rFonts w:hint="eastAsia"/>
          <w:sz w:val="28"/>
          <w:szCs w:val="28"/>
          <w:highlight w:val="none"/>
          <w:lang w:eastAsia="zh-CN"/>
        </w:rPr>
        <w:t>（</w:t>
      </w:r>
      <w:r>
        <w:rPr>
          <w:rFonts w:hint="eastAsia"/>
          <w:sz w:val="28"/>
          <w:szCs w:val="28"/>
          <w:highlight w:val="none"/>
          <w:lang w:val="en-US" w:eastAsia="zh-CN"/>
        </w:rPr>
        <w:t>二</w:t>
      </w:r>
      <w:r>
        <w:rPr>
          <w:rFonts w:hint="eastAsia"/>
          <w:sz w:val="28"/>
          <w:szCs w:val="28"/>
          <w:highlight w:val="none"/>
          <w:lang w:eastAsia="zh-CN"/>
        </w:rPr>
        <w:t>）</w:t>
      </w:r>
      <w:r>
        <w:rPr>
          <w:rFonts w:hint="eastAsia"/>
          <w:sz w:val="28"/>
          <w:szCs w:val="28"/>
          <w:highlight w:val="none"/>
          <w:lang w:val="en-US" w:eastAsia="zh-CN"/>
        </w:rPr>
        <w:t>对学校的课程安排合理性评价</w:t>
      </w:r>
    </w:p>
    <w:p>
      <w:pPr>
        <w:ind w:firstLine="560" w:firstLineChars="200"/>
        <w:jc w:val="center"/>
        <w:rPr>
          <w:rFonts w:hint="eastAsia" w:asciiTheme="minorEastAsia" w:hAnsiTheme="minorEastAsia" w:eastAsiaTheme="minorEastAsia"/>
          <w:sz w:val="20"/>
          <w:szCs w:val="20"/>
          <w:highlight w:val="none"/>
        </w:rPr>
      </w:pPr>
      <w:r>
        <w:rPr>
          <w:rFonts w:hint="eastAsia"/>
          <w:sz w:val="28"/>
          <w:szCs w:val="28"/>
          <w:highlight w:val="none"/>
          <w:lang w:val="en-US" w:eastAsia="zh-CN"/>
        </w:rPr>
        <w:t xml:space="preserve">调研数据显示，2023届毕业生有14.76%认为学校的课程安排的“非常合理”，35.44%认为“比较合理”，36.59%认为“合理”。           </w:t>
      </w:r>
      <w:r>
        <w:rPr>
          <w:sz w:val="28"/>
          <w:szCs w:val="28"/>
          <w:highlight w:val="none"/>
        </w:rPr>
        <w:drawing>
          <wp:inline distT="0" distB="0" distL="0" distR="0">
            <wp:extent cx="4384675" cy="2503170"/>
            <wp:effectExtent l="4445" t="4445" r="11430" b="6985"/>
            <wp:docPr id="52" name="图表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pPr>
        <w:jc w:val="center"/>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rPr>
        <w:t>图</w:t>
      </w:r>
      <w:r>
        <w:rPr>
          <w:rFonts w:hint="eastAsia" w:asciiTheme="minorEastAsia" w:hAnsiTheme="minorEastAsia" w:eastAsiaTheme="minorEastAsia"/>
          <w:sz w:val="20"/>
          <w:szCs w:val="20"/>
          <w:highlight w:val="none"/>
          <w:lang w:val="en-US" w:eastAsia="zh-CN"/>
        </w:rPr>
        <w:t>8</w:t>
      </w:r>
      <w:r>
        <w:rPr>
          <w:rFonts w:hint="eastAsia" w:asciiTheme="minorEastAsia" w:hAnsiTheme="minorEastAsia" w:eastAsiaTheme="minorEastAsia"/>
          <w:sz w:val="20"/>
          <w:szCs w:val="20"/>
          <w:highlight w:val="none"/>
        </w:rPr>
        <w:t>-</w:t>
      </w:r>
      <w:r>
        <w:rPr>
          <w:rFonts w:hint="eastAsia" w:asciiTheme="minorEastAsia" w:hAnsiTheme="minorEastAsia" w:eastAsiaTheme="minorEastAsia"/>
          <w:sz w:val="20"/>
          <w:szCs w:val="20"/>
          <w:highlight w:val="none"/>
          <w:lang w:val="en-US" w:eastAsia="zh-CN"/>
        </w:rPr>
        <w:t>4</w:t>
      </w:r>
      <w:r>
        <w:rPr>
          <w:rFonts w:hint="eastAsia" w:asciiTheme="minorEastAsia" w:hAnsiTheme="minorEastAsia" w:eastAsiaTheme="minorEastAsia"/>
          <w:sz w:val="20"/>
          <w:szCs w:val="20"/>
          <w:highlight w:val="none"/>
        </w:rPr>
        <w:t xml:space="preserve">  20</w:t>
      </w:r>
      <w:r>
        <w:rPr>
          <w:rFonts w:hint="eastAsia" w:asciiTheme="minorEastAsia" w:hAnsiTheme="minorEastAsia" w:eastAsiaTheme="minorEastAsia"/>
          <w:sz w:val="20"/>
          <w:szCs w:val="20"/>
          <w:highlight w:val="none"/>
          <w:lang w:val="en-US" w:eastAsia="zh-CN"/>
        </w:rPr>
        <w:t>23</w:t>
      </w:r>
      <w:r>
        <w:rPr>
          <w:rFonts w:hint="eastAsia" w:asciiTheme="minorEastAsia" w:hAnsiTheme="minorEastAsia" w:eastAsiaTheme="minorEastAsia"/>
          <w:sz w:val="20"/>
          <w:szCs w:val="20"/>
          <w:highlight w:val="none"/>
        </w:rPr>
        <w:t>届毕业生对学</w:t>
      </w:r>
      <w:r>
        <w:rPr>
          <w:rFonts w:hint="eastAsia" w:asciiTheme="minorEastAsia" w:hAnsiTheme="minorEastAsia" w:eastAsiaTheme="minorEastAsia"/>
          <w:sz w:val="20"/>
          <w:szCs w:val="20"/>
          <w:highlight w:val="none"/>
          <w:lang w:val="en-US" w:eastAsia="zh-CN"/>
        </w:rPr>
        <w:t>校的课程安排合理性评价</w:t>
      </w:r>
    </w:p>
    <w:p>
      <w:pPr>
        <w:jc w:val="center"/>
        <w:rPr>
          <w:rFonts w:hint="eastAsia" w:asciiTheme="minorEastAsia" w:hAnsiTheme="minorEastAsia" w:eastAsiaTheme="minorEastAsia"/>
          <w:sz w:val="20"/>
          <w:szCs w:val="20"/>
          <w:highlight w:val="none"/>
          <w:lang w:val="en-US" w:eastAsia="zh-CN"/>
        </w:rPr>
      </w:pPr>
    </w:p>
    <w:p>
      <w:pPr>
        <w:ind w:firstLine="0" w:firstLineChars="0"/>
        <w:jc w:val="left"/>
        <w:rPr>
          <w:rFonts w:hint="default" w:eastAsia="宋体"/>
          <w:sz w:val="28"/>
          <w:szCs w:val="28"/>
          <w:highlight w:val="none"/>
          <w:lang w:val="en-US" w:eastAsia="zh-CN"/>
        </w:rPr>
      </w:pPr>
      <w:r>
        <w:rPr>
          <w:rFonts w:hint="eastAsia"/>
          <w:sz w:val="28"/>
          <w:szCs w:val="28"/>
          <w:highlight w:val="none"/>
          <w:lang w:eastAsia="zh-CN"/>
        </w:rPr>
        <w:t>（</w:t>
      </w:r>
      <w:r>
        <w:rPr>
          <w:rFonts w:hint="eastAsia"/>
          <w:sz w:val="28"/>
          <w:szCs w:val="28"/>
          <w:highlight w:val="none"/>
          <w:lang w:val="en-US" w:eastAsia="zh-CN"/>
        </w:rPr>
        <w:t>三</w:t>
      </w:r>
      <w:r>
        <w:rPr>
          <w:rFonts w:hint="eastAsia"/>
          <w:sz w:val="28"/>
          <w:szCs w:val="28"/>
          <w:highlight w:val="none"/>
          <w:lang w:eastAsia="zh-CN"/>
        </w:rPr>
        <w:t>）</w:t>
      </w:r>
      <w:r>
        <w:rPr>
          <w:rFonts w:hint="eastAsia"/>
          <w:sz w:val="28"/>
          <w:szCs w:val="28"/>
          <w:highlight w:val="none"/>
          <w:lang w:val="en-US" w:eastAsia="zh-CN"/>
        </w:rPr>
        <w:t>对学校的实践教学（课程实践、实习实训、科研训练、学科竞赛等）水平评价</w:t>
      </w:r>
    </w:p>
    <w:p>
      <w:pPr>
        <w:ind w:firstLine="560" w:firstLineChars="200"/>
        <w:jc w:val="left"/>
        <w:rPr>
          <w:rFonts w:hint="eastAsia"/>
          <w:sz w:val="28"/>
          <w:szCs w:val="28"/>
          <w:highlight w:val="none"/>
          <w:lang w:val="en-US" w:eastAsia="zh-CN"/>
        </w:rPr>
      </w:pPr>
      <w:r>
        <w:rPr>
          <w:rFonts w:hint="eastAsia"/>
          <w:sz w:val="28"/>
          <w:szCs w:val="28"/>
          <w:highlight w:val="none"/>
          <w:lang w:val="en-US" w:eastAsia="zh-CN"/>
        </w:rPr>
        <w:t>调研数据显示，2023届毕业生有14.36%认为学校的实践教学水平的“非常好”，32.63%的学生认为“比较好”，38.08%的学生认为“好”。</w:t>
      </w:r>
    </w:p>
    <w:p>
      <w:pPr>
        <w:ind w:firstLine="840" w:firstLineChars="300"/>
        <w:jc w:val="left"/>
        <w:rPr>
          <w:rFonts w:hint="eastAsia"/>
          <w:sz w:val="28"/>
          <w:szCs w:val="28"/>
          <w:highlight w:val="none"/>
          <w:lang w:val="en-US" w:eastAsia="zh-CN"/>
        </w:rPr>
      </w:pPr>
      <w:r>
        <w:rPr>
          <w:sz w:val="28"/>
          <w:szCs w:val="28"/>
          <w:highlight w:val="none"/>
        </w:rPr>
        <w:drawing>
          <wp:inline distT="0" distB="0" distL="0" distR="0">
            <wp:extent cx="4004310" cy="2146300"/>
            <wp:effectExtent l="4445" t="4445" r="10795" b="20955"/>
            <wp:docPr id="53" name="图表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pPr>
        <w:jc w:val="center"/>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rPr>
        <w:t>图</w:t>
      </w:r>
      <w:r>
        <w:rPr>
          <w:rFonts w:hint="eastAsia" w:asciiTheme="minorEastAsia" w:hAnsiTheme="minorEastAsia" w:eastAsiaTheme="minorEastAsia"/>
          <w:sz w:val="20"/>
          <w:szCs w:val="20"/>
          <w:highlight w:val="none"/>
          <w:lang w:val="en-US" w:eastAsia="zh-CN"/>
        </w:rPr>
        <w:t>8</w:t>
      </w:r>
      <w:r>
        <w:rPr>
          <w:rFonts w:hint="eastAsia" w:asciiTheme="minorEastAsia" w:hAnsiTheme="minorEastAsia" w:eastAsiaTheme="minorEastAsia"/>
          <w:sz w:val="20"/>
          <w:szCs w:val="20"/>
          <w:highlight w:val="none"/>
        </w:rPr>
        <w:t>-</w:t>
      </w:r>
      <w:r>
        <w:rPr>
          <w:rFonts w:hint="eastAsia" w:asciiTheme="minorEastAsia" w:hAnsiTheme="minorEastAsia" w:eastAsiaTheme="minorEastAsia"/>
          <w:sz w:val="20"/>
          <w:szCs w:val="20"/>
          <w:highlight w:val="none"/>
          <w:lang w:val="en-US" w:eastAsia="zh-CN"/>
        </w:rPr>
        <w:t>5</w:t>
      </w:r>
      <w:r>
        <w:rPr>
          <w:rFonts w:hint="eastAsia" w:asciiTheme="minorEastAsia" w:hAnsiTheme="minorEastAsia" w:eastAsiaTheme="minorEastAsia"/>
          <w:sz w:val="20"/>
          <w:szCs w:val="20"/>
          <w:highlight w:val="none"/>
        </w:rPr>
        <w:t xml:space="preserve">  20</w:t>
      </w:r>
      <w:r>
        <w:rPr>
          <w:rFonts w:hint="eastAsia" w:asciiTheme="minorEastAsia" w:hAnsiTheme="minorEastAsia" w:eastAsiaTheme="minorEastAsia"/>
          <w:sz w:val="20"/>
          <w:szCs w:val="20"/>
          <w:highlight w:val="none"/>
          <w:lang w:val="en-US" w:eastAsia="zh-CN"/>
        </w:rPr>
        <w:t>23</w:t>
      </w:r>
      <w:r>
        <w:rPr>
          <w:rFonts w:hint="eastAsia" w:asciiTheme="minorEastAsia" w:hAnsiTheme="minorEastAsia" w:eastAsiaTheme="minorEastAsia"/>
          <w:sz w:val="20"/>
          <w:szCs w:val="20"/>
          <w:highlight w:val="none"/>
        </w:rPr>
        <w:t>届毕业生对学</w:t>
      </w:r>
      <w:r>
        <w:rPr>
          <w:rFonts w:hint="eastAsia" w:asciiTheme="minorEastAsia" w:hAnsiTheme="minorEastAsia" w:eastAsiaTheme="minorEastAsia"/>
          <w:sz w:val="20"/>
          <w:szCs w:val="20"/>
          <w:highlight w:val="none"/>
          <w:lang w:val="en-US" w:eastAsia="zh-CN"/>
        </w:rPr>
        <w:t>校的实践教学水平评价</w:t>
      </w:r>
    </w:p>
    <w:p>
      <w:pPr>
        <w:pStyle w:val="6"/>
        <w:rPr>
          <w:rFonts w:hint="eastAsia"/>
          <w:lang w:val="en-US" w:eastAsia="zh-CN"/>
        </w:rPr>
      </w:pPr>
    </w:p>
    <w:p>
      <w:pPr>
        <w:ind w:firstLine="0" w:firstLineChars="0"/>
        <w:jc w:val="left"/>
        <w:rPr>
          <w:rFonts w:hint="default" w:eastAsia="宋体"/>
          <w:sz w:val="28"/>
          <w:szCs w:val="28"/>
          <w:highlight w:val="none"/>
          <w:lang w:val="en-US" w:eastAsia="zh-CN"/>
        </w:rPr>
      </w:pPr>
      <w:r>
        <w:rPr>
          <w:rFonts w:hint="eastAsia"/>
          <w:sz w:val="28"/>
          <w:szCs w:val="28"/>
          <w:highlight w:val="none"/>
          <w:lang w:val="en-US" w:eastAsia="zh-CN"/>
        </w:rPr>
        <w:t>三、就业创业服务评价</w:t>
      </w:r>
    </w:p>
    <w:p>
      <w:pPr>
        <w:ind w:firstLine="560" w:firstLineChars="200"/>
        <w:jc w:val="left"/>
        <w:rPr>
          <w:sz w:val="28"/>
          <w:szCs w:val="28"/>
        </w:rPr>
      </w:pPr>
      <w:r>
        <w:rPr>
          <w:rFonts w:hint="eastAsia"/>
          <w:sz w:val="28"/>
          <w:szCs w:val="28"/>
          <w:highlight w:val="none"/>
        </w:rPr>
        <w:t>学</w:t>
      </w:r>
      <w:r>
        <w:rPr>
          <w:rFonts w:hint="eastAsia"/>
          <w:sz w:val="28"/>
          <w:szCs w:val="28"/>
          <w:highlight w:val="none"/>
          <w:lang w:val="en-US" w:eastAsia="zh-CN"/>
        </w:rPr>
        <w:t>校</w:t>
      </w:r>
      <w:r>
        <w:rPr>
          <w:rFonts w:hint="eastAsia"/>
          <w:sz w:val="28"/>
          <w:szCs w:val="28"/>
          <w:highlight w:val="none"/>
        </w:rPr>
        <w:t>一直高度重视毕业生就业工作，认真落实就业工作人员、经费、场地，并建立了完善的就业工作机制</w:t>
      </w:r>
      <w:r>
        <w:rPr>
          <w:rFonts w:hint="eastAsia"/>
          <w:sz w:val="28"/>
          <w:szCs w:val="28"/>
          <w:highlight w:val="none"/>
          <w:lang w:eastAsia="zh-CN"/>
        </w:rPr>
        <w:t>。</w:t>
      </w:r>
      <w:r>
        <w:rPr>
          <w:rFonts w:hint="eastAsia"/>
          <w:sz w:val="28"/>
          <w:szCs w:val="28"/>
          <w:highlight w:val="none"/>
          <w:lang w:val="en-US" w:eastAsia="zh-CN"/>
        </w:rPr>
        <w:t>以市场为导向，服务区域经济社会发展，</w:t>
      </w:r>
      <w:r>
        <w:rPr>
          <w:rFonts w:hint="eastAsia"/>
          <w:sz w:val="28"/>
          <w:szCs w:val="28"/>
          <w:highlight w:val="none"/>
        </w:rPr>
        <w:t>积极开展毕业生就业工作，得到了广大毕业生的认</w:t>
      </w:r>
      <w:r>
        <w:rPr>
          <w:rFonts w:hint="eastAsia"/>
          <w:sz w:val="28"/>
          <w:szCs w:val="28"/>
          <w:highlight w:val="none"/>
          <w:lang w:val="en-US" w:eastAsia="zh-CN"/>
        </w:rPr>
        <w:t>可</w:t>
      </w:r>
      <w:r>
        <w:rPr>
          <w:rFonts w:hint="eastAsia"/>
          <w:sz w:val="28"/>
          <w:szCs w:val="28"/>
          <w:highlight w:val="none"/>
        </w:rPr>
        <w:t>。本</w:t>
      </w:r>
      <w:r>
        <w:rPr>
          <w:rFonts w:hint="eastAsia"/>
          <w:sz w:val="28"/>
          <w:szCs w:val="28"/>
        </w:rPr>
        <w:t>届毕业生对学</w:t>
      </w:r>
      <w:r>
        <w:rPr>
          <w:rFonts w:hint="eastAsia"/>
          <w:sz w:val="28"/>
          <w:szCs w:val="28"/>
          <w:lang w:val="en-US" w:eastAsia="zh-CN"/>
        </w:rPr>
        <w:t>校</w:t>
      </w:r>
      <w:r>
        <w:rPr>
          <w:rFonts w:hint="eastAsia"/>
          <w:sz w:val="28"/>
          <w:szCs w:val="28"/>
        </w:rPr>
        <w:t>就业工作满意度为</w:t>
      </w:r>
      <w:r>
        <w:rPr>
          <w:rFonts w:hint="eastAsia"/>
          <w:sz w:val="28"/>
          <w:szCs w:val="28"/>
          <w:highlight w:val="none"/>
          <w:lang w:val="en-US" w:eastAsia="zh-CN"/>
        </w:rPr>
        <w:t>95.1%</w:t>
      </w:r>
      <w:r>
        <w:rPr>
          <w:rFonts w:hint="eastAsia"/>
          <w:sz w:val="28"/>
          <w:szCs w:val="28"/>
          <w:highlight w:val="none"/>
        </w:rPr>
        <w:t>。</w:t>
      </w:r>
      <w:r>
        <w:rPr>
          <w:sz w:val="28"/>
          <w:szCs w:val="28"/>
        </w:rPr>
        <w:drawing>
          <wp:inline distT="0" distB="0" distL="0" distR="0">
            <wp:extent cx="5043805" cy="2505710"/>
            <wp:effectExtent l="4445" t="4445" r="19050" b="23495"/>
            <wp:docPr id="50" name="图表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pPr>
        <w:jc w:val="center"/>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rPr>
        <w:t>图</w:t>
      </w:r>
      <w:r>
        <w:rPr>
          <w:rFonts w:hint="eastAsia" w:asciiTheme="minorEastAsia" w:hAnsiTheme="minorEastAsia" w:eastAsiaTheme="minorEastAsia"/>
          <w:sz w:val="20"/>
          <w:szCs w:val="20"/>
          <w:lang w:val="en-US" w:eastAsia="zh-CN"/>
        </w:rPr>
        <w:t>8</w:t>
      </w:r>
      <w:r>
        <w:rPr>
          <w:rFonts w:hint="eastAsia" w:asciiTheme="minorEastAsia" w:hAnsiTheme="minorEastAsia" w:eastAsiaTheme="minorEastAsia"/>
          <w:sz w:val="20"/>
          <w:szCs w:val="20"/>
        </w:rPr>
        <w:t>-</w:t>
      </w:r>
      <w:r>
        <w:rPr>
          <w:rFonts w:hint="eastAsia" w:asciiTheme="minorEastAsia" w:hAnsiTheme="minorEastAsia" w:eastAsiaTheme="minorEastAsia"/>
          <w:sz w:val="20"/>
          <w:szCs w:val="20"/>
          <w:lang w:val="en-US" w:eastAsia="zh-CN"/>
        </w:rPr>
        <w:t>6</w:t>
      </w:r>
      <w:r>
        <w:rPr>
          <w:rFonts w:hint="eastAsia" w:asciiTheme="minorEastAsia" w:hAnsiTheme="minorEastAsia" w:eastAsiaTheme="minorEastAsia"/>
          <w:sz w:val="20"/>
          <w:szCs w:val="20"/>
        </w:rPr>
        <w:t xml:space="preserve">  </w:t>
      </w:r>
      <w:r>
        <w:rPr>
          <w:rFonts w:hint="eastAsia" w:asciiTheme="minorEastAsia" w:hAnsiTheme="minorEastAsia" w:eastAsiaTheme="minorEastAsia"/>
          <w:sz w:val="20"/>
          <w:szCs w:val="20"/>
          <w:highlight w:val="none"/>
        </w:rPr>
        <w:t>20</w:t>
      </w:r>
      <w:r>
        <w:rPr>
          <w:rFonts w:hint="eastAsia" w:asciiTheme="minorEastAsia" w:hAnsiTheme="minorEastAsia" w:eastAsiaTheme="minorEastAsia"/>
          <w:sz w:val="20"/>
          <w:szCs w:val="20"/>
          <w:highlight w:val="none"/>
          <w:lang w:val="en-US" w:eastAsia="zh-CN"/>
        </w:rPr>
        <w:t>23</w:t>
      </w:r>
      <w:r>
        <w:rPr>
          <w:rFonts w:hint="eastAsia" w:asciiTheme="minorEastAsia" w:hAnsiTheme="minorEastAsia" w:eastAsiaTheme="minorEastAsia"/>
          <w:sz w:val="20"/>
          <w:szCs w:val="20"/>
          <w:highlight w:val="none"/>
        </w:rPr>
        <w:t>届毕业生对</w:t>
      </w:r>
      <w:r>
        <w:rPr>
          <w:rFonts w:hint="eastAsia" w:asciiTheme="minorEastAsia" w:hAnsiTheme="minorEastAsia" w:eastAsiaTheme="minorEastAsia"/>
          <w:sz w:val="20"/>
          <w:szCs w:val="20"/>
          <w:highlight w:val="none"/>
          <w:lang w:val="en-US" w:eastAsia="zh-CN"/>
        </w:rPr>
        <w:t>就业创业服务评价</w:t>
      </w:r>
    </w:p>
    <w:p>
      <w:pPr>
        <w:pStyle w:val="6"/>
      </w:pPr>
    </w:p>
    <w:p>
      <w:pPr>
        <w:pStyle w:val="2"/>
        <w:rPr>
          <w:rFonts w:hint="eastAsia"/>
          <w:lang w:val="en-US" w:eastAsia="zh-CN"/>
        </w:rPr>
      </w:pPr>
    </w:p>
    <w:p>
      <w:pPr>
        <w:rPr>
          <w:rFonts w:hint="eastAsia"/>
          <w:lang w:val="en-US" w:eastAsia="zh-CN"/>
        </w:rPr>
      </w:pPr>
    </w:p>
    <w:p>
      <w:pPr>
        <w:pStyle w:val="6"/>
        <w:rPr>
          <w:rFonts w:hint="eastAsia"/>
          <w:lang w:val="en-US" w:eastAsia="zh-CN"/>
        </w:rPr>
      </w:pPr>
    </w:p>
    <w:p>
      <w:pPr>
        <w:pStyle w:val="2"/>
        <w:rPr>
          <w:rFonts w:hint="eastAsia"/>
          <w:lang w:val="en-US" w:eastAsia="zh-CN"/>
        </w:rPr>
      </w:pPr>
    </w:p>
    <w:p>
      <w:pPr>
        <w:rPr>
          <w:rFonts w:hint="eastAsia"/>
          <w:lang w:val="en-US" w:eastAsia="zh-CN"/>
        </w:rPr>
      </w:pPr>
    </w:p>
    <w:p>
      <w:pPr>
        <w:pStyle w:val="6"/>
        <w:rPr>
          <w:rFonts w:hint="eastAsia"/>
          <w:lang w:val="en-US" w:eastAsia="zh-CN"/>
        </w:rPr>
      </w:pPr>
    </w:p>
    <w:p>
      <w:pPr>
        <w:pStyle w:val="2"/>
        <w:rPr>
          <w:rFonts w:hint="eastAsia"/>
          <w:lang w:val="en-US" w:eastAsia="zh-CN"/>
        </w:rPr>
      </w:pPr>
    </w:p>
    <w:p>
      <w:pPr>
        <w:rPr>
          <w:rFonts w:hint="eastAsia"/>
          <w:lang w:val="en-US" w:eastAsia="zh-CN"/>
        </w:rPr>
      </w:pPr>
    </w:p>
    <w:p>
      <w:pPr>
        <w:pStyle w:val="6"/>
        <w:rPr>
          <w:rFonts w:hint="eastAsia"/>
          <w:lang w:val="en-US" w:eastAsia="zh-CN"/>
        </w:rPr>
      </w:pPr>
    </w:p>
    <w:p>
      <w:pPr>
        <w:pStyle w:val="2"/>
        <w:rPr>
          <w:rFonts w:hint="eastAsia"/>
          <w:lang w:val="en-US" w:eastAsia="zh-CN"/>
        </w:rPr>
      </w:pPr>
    </w:p>
    <w:p>
      <w:pPr>
        <w:rPr>
          <w:rFonts w:hint="eastAsia"/>
          <w:lang w:val="en-US" w:eastAsia="zh-CN"/>
        </w:rPr>
      </w:pPr>
    </w:p>
    <w:p>
      <w:pPr>
        <w:pStyle w:val="6"/>
        <w:rPr>
          <w:rFonts w:hint="eastAsia"/>
          <w:lang w:val="en-US" w:eastAsia="zh-CN"/>
        </w:rPr>
      </w:pPr>
    </w:p>
    <w:p>
      <w:pPr>
        <w:pStyle w:val="2"/>
        <w:rPr>
          <w:rFonts w:hint="eastAsia"/>
          <w:lang w:val="en-US" w:eastAsia="zh-CN"/>
        </w:rPr>
      </w:pPr>
    </w:p>
    <w:p>
      <w:pPr>
        <w:rPr>
          <w:rFonts w:hint="eastAsia"/>
          <w:lang w:val="en-US" w:eastAsia="zh-CN"/>
        </w:rPr>
      </w:pPr>
    </w:p>
    <w:p>
      <w:pPr>
        <w:pStyle w:val="6"/>
        <w:rPr>
          <w:rFonts w:hint="eastAsia"/>
          <w:lang w:val="en-US" w:eastAsia="zh-CN"/>
        </w:rPr>
      </w:pPr>
    </w:p>
    <w:p>
      <w:pPr>
        <w:pStyle w:val="2"/>
        <w:rPr>
          <w:rFonts w:hint="eastAsia"/>
          <w:lang w:val="en-US" w:eastAsia="zh-CN"/>
        </w:rPr>
      </w:pPr>
    </w:p>
    <w:p>
      <w:pPr>
        <w:rPr>
          <w:rFonts w:hint="eastAsia"/>
          <w:lang w:val="en-US" w:eastAsia="zh-CN"/>
        </w:rPr>
      </w:pPr>
    </w:p>
    <w:p>
      <w:pPr>
        <w:pStyle w:val="6"/>
        <w:rPr>
          <w:rFonts w:hint="eastAsia"/>
          <w:lang w:val="en-US" w:eastAsia="zh-CN"/>
        </w:rPr>
      </w:pPr>
    </w:p>
    <w:p>
      <w:pPr>
        <w:pStyle w:val="2"/>
        <w:rPr>
          <w:rFonts w:hint="eastAsia"/>
          <w:lang w:val="en-US" w:eastAsia="zh-CN"/>
        </w:rPr>
      </w:pPr>
    </w:p>
    <w:p>
      <w:pPr>
        <w:rPr>
          <w:rFonts w:hint="eastAsia"/>
          <w:lang w:val="en-US" w:eastAsia="zh-CN"/>
        </w:rPr>
      </w:pPr>
    </w:p>
    <w:p>
      <w:pPr>
        <w:pStyle w:val="6"/>
        <w:rPr>
          <w:rFonts w:hint="eastAsia"/>
          <w:lang w:val="en-US" w:eastAsia="zh-CN"/>
        </w:rPr>
      </w:pPr>
    </w:p>
    <w:p>
      <w:pPr>
        <w:pStyle w:val="2"/>
        <w:rPr>
          <w:rFonts w:hint="eastAsia"/>
          <w:lang w:val="en-US" w:eastAsia="zh-CN"/>
        </w:rPr>
      </w:pPr>
    </w:p>
    <w:p>
      <w:pPr>
        <w:rPr>
          <w:rFonts w:hint="eastAsia"/>
          <w:lang w:val="en-US" w:eastAsia="zh-CN"/>
        </w:rPr>
      </w:pPr>
    </w:p>
    <w:p>
      <w:pPr>
        <w:pStyle w:val="6"/>
        <w:rPr>
          <w:rFonts w:hint="eastAsia"/>
          <w:lang w:val="en-US" w:eastAsia="zh-CN"/>
        </w:rPr>
      </w:pPr>
    </w:p>
    <w:p>
      <w:pPr>
        <w:rPr>
          <w:rFonts w:hint="eastAsia"/>
          <w:lang w:val="en-US" w:eastAsia="zh-CN"/>
        </w:rPr>
      </w:pPr>
    </w:p>
    <w:p>
      <w:pPr>
        <w:pStyle w:val="2"/>
        <w:ind w:left="0" w:leftChars="0" w:firstLine="0" w:firstLineChars="0"/>
        <w:rPr>
          <w:rFonts w:hint="eastAsia"/>
          <w:lang w:val="en-US" w:eastAsia="zh-CN"/>
        </w:rPr>
      </w:pPr>
    </w:p>
    <w:p>
      <w:pPr>
        <w:rPr>
          <w:rFonts w:hint="eastAsia"/>
          <w:lang w:val="en-US" w:eastAsia="zh-CN"/>
        </w:rPr>
      </w:pPr>
    </w:p>
    <w:p>
      <w:pPr>
        <w:numPr>
          <w:ilvl w:val="0"/>
          <w:numId w:val="0"/>
        </w:numPr>
        <w:jc w:val="center"/>
        <w:rPr>
          <w:rFonts w:hint="default"/>
          <w:sz w:val="36"/>
          <w:szCs w:val="36"/>
          <w:lang w:val="en-US" w:eastAsia="zh-CN"/>
        </w:rPr>
      </w:pPr>
      <w:r>
        <w:rPr>
          <w:rFonts w:hint="eastAsia"/>
          <w:sz w:val="36"/>
          <w:szCs w:val="36"/>
          <w:lang w:val="en-US" w:eastAsia="zh-CN"/>
        </w:rPr>
        <w:t>第九章  用人单位对毕业生及学校的评价与反馈</w:t>
      </w:r>
    </w:p>
    <w:p>
      <w:pPr>
        <w:numPr>
          <w:ilvl w:val="0"/>
          <w:numId w:val="0"/>
        </w:numPr>
        <w:jc w:val="left"/>
        <w:rPr>
          <w:rFonts w:hint="eastAsia"/>
          <w:sz w:val="28"/>
          <w:szCs w:val="28"/>
          <w:lang w:val="en-US" w:eastAsia="zh-CN"/>
        </w:rPr>
      </w:pPr>
      <w:r>
        <w:rPr>
          <w:rFonts w:hint="eastAsia"/>
          <w:sz w:val="28"/>
          <w:szCs w:val="28"/>
          <w:lang w:val="en-US" w:eastAsia="zh-CN"/>
        </w:rPr>
        <w:t>一、参与调研用人单位基本情况分析</w:t>
      </w:r>
    </w:p>
    <w:p>
      <w:pPr>
        <w:numPr>
          <w:ilvl w:val="0"/>
          <w:numId w:val="0"/>
        </w:numPr>
        <w:jc w:val="left"/>
        <w:rPr>
          <w:rFonts w:hint="default"/>
          <w:sz w:val="28"/>
          <w:szCs w:val="28"/>
          <w:lang w:val="en-US" w:eastAsia="zh-CN"/>
        </w:rPr>
      </w:pPr>
      <w:r>
        <w:rPr>
          <w:rFonts w:hint="eastAsia"/>
          <w:sz w:val="28"/>
          <w:szCs w:val="28"/>
          <w:lang w:val="en-US" w:eastAsia="zh-CN"/>
        </w:rPr>
        <w:t>（一）用人单位性质分布</w:t>
      </w:r>
    </w:p>
    <w:p>
      <w:pPr>
        <w:jc w:val="left"/>
        <w:rPr>
          <w:rFonts w:hint="eastAsia"/>
          <w:sz w:val="28"/>
          <w:szCs w:val="28"/>
          <w:lang w:val="en-US" w:eastAsia="zh-CN"/>
        </w:rPr>
      </w:pPr>
      <w:r>
        <w:rPr>
          <w:rFonts w:hint="eastAsia"/>
          <w:sz w:val="28"/>
          <w:szCs w:val="28"/>
          <w:lang w:val="en-US" w:eastAsia="zh-CN"/>
        </w:rPr>
        <w:t xml:space="preserve">    调研样本中的用人单位主要为“民（私）营企业”（35.49%），其次为“其他”（16.13%）、“党政机关（包括部队单位）”（12.90%）、“外（合）资企业”（12.90%）。    </w:t>
      </w:r>
      <w:r>
        <w:rPr>
          <w:rFonts w:hint="eastAsia"/>
          <w:sz w:val="28"/>
          <w:szCs w:val="28"/>
          <w:lang w:val="en-US" w:eastAsia="zh-CN"/>
        </w:rPr>
        <w:drawing>
          <wp:inline distT="0" distB="0" distL="114300" distR="114300">
            <wp:extent cx="5505450" cy="1651000"/>
            <wp:effectExtent l="4445" t="4445" r="14605" b="20955"/>
            <wp:docPr id="37" name="图表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pPr>
        <w:ind w:firstLine="400" w:firstLineChars="200"/>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图</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9</w:t>
      </w:r>
      <w:r>
        <w:rPr>
          <w:rFonts w:asciiTheme="minorEastAsia" w:hAnsiTheme="minorEastAsia" w:eastAsiaTheme="minorEastAsia"/>
          <w:sz w:val="20"/>
          <w:szCs w:val="20"/>
          <w:lang w:val="ru-RU"/>
        </w:rPr>
        <w:t>-</w:t>
      </w:r>
      <w:r>
        <w:rPr>
          <w:rFonts w:hint="eastAsia" w:asciiTheme="minorEastAsia" w:hAnsiTheme="minorEastAsia" w:eastAsiaTheme="minorEastAsia"/>
          <w:sz w:val="20"/>
          <w:szCs w:val="20"/>
          <w:lang w:val="en-US" w:eastAsia="zh-CN"/>
        </w:rPr>
        <w:t>1  参与调研单位性质分布</w:t>
      </w:r>
    </w:p>
    <w:p>
      <w:pPr>
        <w:ind w:firstLine="400" w:firstLineChars="200"/>
        <w:jc w:val="center"/>
        <w:rPr>
          <w:rFonts w:hint="eastAsia" w:asciiTheme="minorEastAsia" w:hAnsiTheme="minorEastAsia" w:eastAsiaTheme="minorEastAsia"/>
          <w:sz w:val="20"/>
          <w:szCs w:val="20"/>
          <w:lang w:val="en-US" w:eastAsia="zh-CN"/>
        </w:rPr>
      </w:pPr>
    </w:p>
    <w:p>
      <w:pPr>
        <w:numPr>
          <w:ilvl w:val="0"/>
          <w:numId w:val="0"/>
        </w:numPr>
        <w:jc w:val="left"/>
        <w:rPr>
          <w:rFonts w:hint="default"/>
          <w:sz w:val="28"/>
          <w:szCs w:val="28"/>
          <w:highlight w:val="none"/>
          <w:lang w:val="en-US" w:eastAsia="zh-CN"/>
        </w:rPr>
      </w:pPr>
      <w:r>
        <w:rPr>
          <w:rFonts w:hint="eastAsia"/>
          <w:sz w:val="28"/>
          <w:szCs w:val="28"/>
          <w:highlight w:val="none"/>
          <w:lang w:val="en-US" w:eastAsia="zh-CN"/>
        </w:rPr>
        <w:t>（二）用人单位行业分布</w:t>
      </w:r>
    </w:p>
    <w:p>
      <w:pPr>
        <w:ind w:firstLine="560" w:firstLineChars="200"/>
        <w:jc w:val="left"/>
        <w:rPr>
          <w:rFonts w:hint="default"/>
          <w:sz w:val="28"/>
          <w:szCs w:val="28"/>
          <w:lang w:val="en-US" w:eastAsia="zh-CN"/>
        </w:rPr>
      </w:pPr>
      <w:r>
        <w:rPr>
          <w:rFonts w:hint="eastAsia"/>
          <w:sz w:val="28"/>
          <w:szCs w:val="28"/>
          <w:lang w:val="en-US" w:eastAsia="zh-CN"/>
        </w:rPr>
        <w:t>调研样本中用人单位的行业占比最大的为“制造业”（29.02%），其次为“公共管理、社会保障和社会组织”（12.90%）、“批发和零售业”及“信息传输、软件和信息技术服务业”（均为9.67%）。</w:t>
      </w:r>
      <w:r>
        <w:rPr>
          <w:rFonts w:hint="default"/>
          <w:sz w:val="28"/>
          <w:szCs w:val="28"/>
          <w:lang w:val="en-US" w:eastAsia="zh-CN"/>
        </w:rPr>
        <w:drawing>
          <wp:inline distT="0" distB="0" distL="114300" distR="114300">
            <wp:extent cx="5765165" cy="2470785"/>
            <wp:effectExtent l="4445" t="4445" r="21590" b="2032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pPr>
        <w:ind w:firstLine="400" w:firstLineChars="200"/>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图</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9</w:t>
      </w:r>
      <w:r>
        <w:rPr>
          <w:rFonts w:asciiTheme="minorEastAsia" w:hAnsiTheme="minorEastAsia" w:eastAsiaTheme="minorEastAsia"/>
          <w:sz w:val="20"/>
          <w:szCs w:val="20"/>
          <w:lang w:val="ru-RU"/>
        </w:rPr>
        <w:t>-</w:t>
      </w:r>
      <w:r>
        <w:rPr>
          <w:rFonts w:hint="eastAsia" w:asciiTheme="minorEastAsia" w:hAnsiTheme="minorEastAsia" w:eastAsiaTheme="minorEastAsia"/>
          <w:sz w:val="20"/>
          <w:szCs w:val="20"/>
          <w:lang w:val="en-US" w:eastAsia="zh-CN"/>
        </w:rPr>
        <w:t>2  参与调研单位行业分布</w:t>
      </w:r>
    </w:p>
    <w:p>
      <w:pPr>
        <w:pStyle w:val="6"/>
        <w:rPr>
          <w:rFonts w:hint="eastAsia"/>
          <w:lang w:val="en-US" w:eastAsia="zh-CN"/>
        </w:rPr>
      </w:pPr>
    </w:p>
    <w:p>
      <w:pPr>
        <w:numPr>
          <w:ilvl w:val="0"/>
          <w:numId w:val="0"/>
        </w:numPr>
        <w:jc w:val="left"/>
        <w:rPr>
          <w:rFonts w:hint="default"/>
          <w:sz w:val="28"/>
          <w:szCs w:val="28"/>
          <w:highlight w:val="none"/>
          <w:lang w:val="en-US" w:eastAsia="zh-CN"/>
        </w:rPr>
      </w:pPr>
      <w:r>
        <w:rPr>
          <w:rFonts w:hint="eastAsia"/>
          <w:sz w:val="28"/>
          <w:szCs w:val="28"/>
          <w:highlight w:val="none"/>
          <w:lang w:val="en-US" w:eastAsia="zh-CN"/>
        </w:rPr>
        <w:t>（三）用人单位规模分布</w:t>
      </w:r>
    </w:p>
    <w:p>
      <w:pPr>
        <w:ind w:firstLine="560" w:firstLineChars="200"/>
        <w:jc w:val="left"/>
        <w:rPr>
          <w:rFonts w:hint="eastAsia" w:ascii="宋体" w:hAnsi="宋体" w:cs="宋体"/>
          <w:sz w:val="28"/>
          <w:szCs w:val="28"/>
          <w:lang w:val="en-US" w:eastAsia="zh-CN"/>
        </w:rPr>
      </w:pPr>
      <w:r>
        <w:rPr>
          <w:rFonts w:hint="eastAsia" w:ascii="宋体" w:hAnsi="宋体" w:cs="宋体"/>
          <w:sz w:val="28"/>
          <w:szCs w:val="28"/>
          <w:lang w:val="en-US" w:eastAsia="zh-CN"/>
        </w:rPr>
        <w:t>调研样本的用人单位规模主要集中在“</w:t>
      </w:r>
      <w:r>
        <w:rPr>
          <w:rFonts w:hint="eastAsia"/>
          <w:sz w:val="28"/>
          <w:szCs w:val="28"/>
          <w:lang w:val="en-US" w:eastAsia="zh-CN"/>
        </w:rPr>
        <w:t>1-99人</w:t>
      </w:r>
      <w:r>
        <w:rPr>
          <w:rFonts w:hint="eastAsia" w:ascii="宋体" w:hAnsi="宋体" w:cs="宋体"/>
          <w:sz w:val="28"/>
          <w:szCs w:val="28"/>
          <w:lang w:val="en-US" w:eastAsia="zh-CN"/>
        </w:rPr>
        <w:t>”（</w:t>
      </w:r>
      <w:r>
        <w:rPr>
          <w:rFonts w:hint="eastAsia"/>
          <w:sz w:val="28"/>
          <w:szCs w:val="28"/>
          <w:lang w:val="en-US" w:eastAsia="zh-CN"/>
        </w:rPr>
        <w:t>54.84%</w:t>
      </w:r>
      <w:r>
        <w:rPr>
          <w:rFonts w:hint="eastAsia" w:ascii="宋体" w:hAnsi="宋体" w:cs="宋体"/>
          <w:sz w:val="28"/>
          <w:szCs w:val="28"/>
          <w:lang w:val="en-US" w:eastAsia="zh-CN"/>
        </w:rPr>
        <w:t>），其次为“</w:t>
      </w:r>
      <w:r>
        <w:rPr>
          <w:rFonts w:hint="eastAsia"/>
          <w:sz w:val="28"/>
          <w:szCs w:val="28"/>
          <w:lang w:val="en-US" w:eastAsia="zh-CN"/>
        </w:rPr>
        <w:t>100-499</w:t>
      </w:r>
      <w:r>
        <w:rPr>
          <w:rFonts w:hint="eastAsia" w:ascii="宋体" w:hAnsi="宋体" w:cs="宋体"/>
          <w:sz w:val="28"/>
          <w:szCs w:val="28"/>
          <w:lang w:val="en-US" w:eastAsia="zh-CN"/>
        </w:rPr>
        <w:t>人”（</w:t>
      </w:r>
      <w:r>
        <w:rPr>
          <w:rFonts w:hint="eastAsia"/>
          <w:sz w:val="28"/>
          <w:szCs w:val="28"/>
          <w:lang w:val="en-US" w:eastAsia="zh-CN"/>
        </w:rPr>
        <w:t>22.58%</w:t>
      </w:r>
      <w:r>
        <w:rPr>
          <w:rFonts w:hint="eastAsia" w:ascii="宋体" w:hAnsi="宋体" w:cs="宋体"/>
          <w:sz w:val="28"/>
          <w:szCs w:val="28"/>
          <w:lang w:val="en-US" w:eastAsia="zh-CN"/>
        </w:rPr>
        <w:t>）、“</w:t>
      </w:r>
      <w:r>
        <w:rPr>
          <w:rFonts w:hint="eastAsia"/>
          <w:sz w:val="28"/>
          <w:szCs w:val="28"/>
          <w:lang w:val="en-US" w:eastAsia="zh-CN"/>
        </w:rPr>
        <w:t>500-999人</w:t>
      </w:r>
      <w:r>
        <w:rPr>
          <w:rFonts w:hint="eastAsia" w:ascii="宋体" w:hAnsi="宋体" w:cs="宋体"/>
          <w:sz w:val="28"/>
          <w:szCs w:val="28"/>
          <w:lang w:val="en-US" w:eastAsia="zh-CN"/>
        </w:rPr>
        <w:t>”（</w:t>
      </w:r>
      <w:r>
        <w:rPr>
          <w:rFonts w:hint="eastAsia"/>
          <w:sz w:val="28"/>
          <w:szCs w:val="28"/>
          <w:lang w:val="en-US" w:eastAsia="zh-CN"/>
        </w:rPr>
        <w:t>9.68%</w:t>
      </w:r>
      <w:r>
        <w:rPr>
          <w:rFonts w:hint="eastAsia" w:ascii="宋体" w:hAnsi="宋体" w:cs="宋体"/>
          <w:sz w:val="28"/>
          <w:szCs w:val="28"/>
          <w:lang w:val="en-US" w:eastAsia="zh-CN"/>
        </w:rPr>
        <w:t>）、“</w:t>
      </w:r>
      <w:r>
        <w:rPr>
          <w:rFonts w:hint="eastAsia"/>
          <w:sz w:val="28"/>
          <w:szCs w:val="28"/>
          <w:lang w:val="en-US" w:eastAsia="zh-CN"/>
        </w:rPr>
        <w:t>1000-4999人</w:t>
      </w:r>
      <w:r>
        <w:rPr>
          <w:rFonts w:hint="eastAsia" w:ascii="宋体" w:hAnsi="宋体" w:cs="宋体"/>
          <w:sz w:val="28"/>
          <w:szCs w:val="28"/>
          <w:lang w:val="en-US" w:eastAsia="zh-CN"/>
        </w:rPr>
        <w:t>”（</w:t>
      </w:r>
      <w:r>
        <w:rPr>
          <w:rFonts w:hint="eastAsia"/>
          <w:sz w:val="28"/>
          <w:szCs w:val="28"/>
          <w:lang w:val="en-US" w:eastAsia="zh-CN"/>
        </w:rPr>
        <w:t>9.68%</w:t>
      </w:r>
      <w:r>
        <w:rPr>
          <w:rFonts w:hint="eastAsia" w:ascii="宋体" w:hAnsi="宋体" w:cs="宋体"/>
          <w:sz w:val="28"/>
          <w:szCs w:val="28"/>
          <w:lang w:val="en-US" w:eastAsia="zh-CN"/>
        </w:rPr>
        <w:t>）。</w:t>
      </w:r>
    </w:p>
    <w:p>
      <w:pPr>
        <w:ind w:firstLine="560" w:firstLineChars="200"/>
        <w:jc w:val="left"/>
        <w:rPr>
          <w:rFonts w:hint="eastAsia" w:ascii="宋体" w:hAnsi="宋体" w:cs="宋体"/>
          <w:sz w:val="28"/>
          <w:szCs w:val="28"/>
          <w:lang w:val="en-US" w:eastAsia="zh-CN"/>
        </w:rPr>
      </w:pPr>
      <w:r>
        <w:rPr>
          <w:rFonts w:hint="eastAsia" w:ascii="宋体" w:hAnsi="宋体" w:cs="宋体"/>
          <w:sz w:val="28"/>
          <w:szCs w:val="28"/>
          <w:lang w:val="en-US" w:eastAsia="zh-CN"/>
        </w:rPr>
        <w:drawing>
          <wp:inline distT="0" distB="0" distL="114300" distR="114300">
            <wp:extent cx="4824730" cy="2548255"/>
            <wp:effectExtent l="4445" t="4445" r="9525" b="19050"/>
            <wp:docPr id="41" name="图表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pPr>
        <w:ind w:firstLine="400" w:firstLineChars="200"/>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图</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9</w:t>
      </w:r>
      <w:r>
        <w:rPr>
          <w:rFonts w:asciiTheme="minorEastAsia" w:hAnsiTheme="minorEastAsia" w:eastAsiaTheme="minorEastAsia"/>
          <w:sz w:val="20"/>
          <w:szCs w:val="20"/>
          <w:lang w:val="ru-RU"/>
        </w:rPr>
        <w:t>-</w:t>
      </w:r>
      <w:r>
        <w:rPr>
          <w:rFonts w:hint="eastAsia" w:asciiTheme="minorEastAsia" w:hAnsiTheme="minorEastAsia" w:eastAsiaTheme="minorEastAsia"/>
          <w:sz w:val="20"/>
          <w:szCs w:val="20"/>
          <w:lang w:val="en-US" w:eastAsia="zh-CN"/>
        </w:rPr>
        <w:t>3  参与调研单位规模分布</w:t>
      </w:r>
    </w:p>
    <w:p>
      <w:pPr>
        <w:ind w:firstLine="400" w:firstLineChars="200"/>
        <w:jc w:val="center"/>
        <w:rPr>
          <w:rFonts w:hint="eastAsia" w:asciiTheme="minorEastAsia" w:hAnsiTheme="minorEastAsia" w:eastAsiaTheme="minorEastAsia"/>
          <w:sz w:val="20"/>
          <w:szCs w:val="20"/>
          <w:lang w:val="en-US" w:eastAsia="zh-CN"/>
        </w:rPr>
      </w:pPr>
    </w:p>
    <w:p>
      <w:pPr>
        <w:numPr>
          <w:ilvl w:val="0"/>
          <w:numId w:val="0"/>
        </w:numPr>
        <w:jc w:val="left"/>
        <w:rPr>
          <w:rFonts w:hint="default"/>
          <w:sz w:val="28"/>
          <w:szCs w:val="28"/>
          <w:highlight w:val="none"/>
          <w:lang w:val="en-US" w:eastAsia="zh-CN"/>
        </w:rPr>
      </w:pPr>
      <w:r>
        <w:rPr>
          <w:rFonts w:hint="eastAsia"/>
          <w:sz w:val="28"/>
          <w:szCs w:val="28"/>
          <w:highlight w:val="none"/>
          <w:lang w:val="en-US" w:eastAsia="zh-CN"/>
        </w:rPr>
        <w:t>（四）用人单位地域分布</w:t>
      </w:r>
    </w:p>
    <w:p>
      <w:pPr>
        <w:ind w:firstLine="560" w:firstLineChars="200"/>
        <w:jc w:val="left"/>
        <w:rPr>
          <w:rFonts w:hint="eastAsia"/>
          <w:sz w:val="28"/>
          <w:szCs w:val="28"/>
          <w:lang w:val="en-US" w:eastAsia="zh-CN"/>
        </w:rPr>
      </w:pPr>
      <w:r>
        <w:rPr>
          <w:rFonts w:hint="eastAsia"/>
          <w:sz w:val="28"/>
          <w:szCs w:val="28"/>
          <w:lang w:val="en-US" w:eastAsia="zh-CN"/>
        </w:rPr>
        <w:t>调研样本的单位地域分布位列前三的地区分别是“湖南省内（长沙市除外）”（38.71%）、“其他区域”（19.35%）、“长三角区域”（均为16.13%）。</w:t>
      </w:r>
    </w:p>
    <w:p>
      <w:pPr>
        <w:ind w:firstLine="840" w:firstLineChars="300"/>
        <w:jc w:val="left"/>
        <w:rPr>
          <w:rFonts w:hint="default"/>
          <w:sz w:val="28"/>
          <w:szCs w:val="28"/>
          <w:lang w:val="en-US" w:eastAsia="zh-CN"/>
        </w:rPr>
      </w:pPr>
      <w:r>
        <w:rPr>
          <w:rFonts w:hint="eastAsia"/>
          <w:sz w:val="28"/>
          <w:szCs w:val="28"/>
          <w:lang w:val="en-US" w:eastAsia="zh-CN"/>
        </w:rPr>
        <w:t xml:space="preserve"> </w:t>
      </w:r>
      <w:r>
        <w:rPr>
          <w:rFonts w:hint="default"/>
          <w:sz w:val="28"/>
          <w:szCs w:val="28"/>
          <w:lang w:val="en-US" w:eastAsia="zh-CN"/>
        </w:rPr>
        <w:drawing>
          <wp:inline distT="0" distB="0" distL="114300" distR="114300">
            <wp:extent cx="4280535" cy="2136140"/>
            <wp:effectExtent l="4445" t="4445" r="20320" b="12065"/>
            <wp:docPr id="43" name="图表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pPr>
        <w:ind w:firstLine="400" w:firstLineChars="200"/>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图</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9</w:t>
      </w:r>
      <w:r>
        <w:rPr>
          <w:rFonts w:asciiTheme="minorEastAsia" w:hAnsiTheme="minorEastAsia" w:eastAsiaTheme="minorEastAsia"/>
          <w:sz w:val="20"/>
          <w:szCs w:val="20"/>
          <w:lang w:val="ru-RU"/>
        </w:rPr>
        <w:t>-</w:t>
      </w:r>
      <w:r>
        <w:rPr>
          <w:rFonts w:hint="eastAsia" w:asciiTheme="minorEastAsia" w:hAnsiTheme="minorEastAsia" w:eastAsiaTheme="minorEastAsia"/>
          <w:sz w:val="20"/>
          <w:szCs w:val="20"/>
          <w:lang w:val="en-US" w:eastAsia="zh-CN"/>
        </w:rPr>
        <w:t>4  参与调研单位地域分布</w:t>
      </w:r>
    </w:p>
    <w:p>
      <w:pPr>
        <w:numPr>
          <w:ilvl w:val="0"/>
          <w:numId w:val="0"/>
        </w:numPr>
        <w:ind w:leftChars="0"/>
        <w:jc w:val="left"/>
        <w:rPr>
          <w:rFonts w:hint="eastAsia"/>
          <w:sz w:val="28"/>
          <w:szCs w:val="28"/>
          <w:highlight w:val="none"/>
          <w:lang w:val="en-US" w:eastAsia="zh-CN"/>
        </w:rPr>
      </w:pPr>
      <w:r>
        <w:rPr>
          <w:rFonts w:hint="eastAsia"/>
          <w:sz w:val="28"/>
          <w:szCs w:val="28"/>
          <w:highlight w:val="none"/>
          <w:lang w:val="en-US" w:eastAsia="zh-CN"/>
        </w:rPr>
        <w:t>二、用人单位用人需求分析</w:t>
      </w:r>
    </w:p>
    <w:p>
      <w:pPr>
        <w:numPr>
          <w:ilvl w:val="0"/>
          <w:numId w:val="13"/>
        </w:numPr>
        <w:ind w:leftChars="0"/>
        <w:jc w:val="left"/>
        <w:rPr>
          <w:rFonts w:hint="eastAsia"/>
          <w:sz w:val="28"/>
          <w:szCs w:val="28"/>
          <w:lang w:val="en-US" w:eastAsia="zh-CN"/>
        </w:rPr>
      </w:pPr>
      <w:r>
        <w:rPr>
          <w:rFonts w:hint="eastAsia"/>
          <w:sz w:val="28"/>
          <w:szCs w:val="28"/>
          <w:lang w:val="en-US" w:eastAsia="zh-CN"/>
        </w:rPr>
        <w:t>用人单位对毕业生专业对口的关注度</w:t>
      </w:r>
    </w:p>
    <w:p>
      <w:pPr>
        <w:numPr>
          <w:ilvl w:val="0"/>
          <w:numId w:val="0"/>
        </w:numPr>
        <w:jc w:val="left"/>
        <w:rPr>
          <w:rFonts w:hint="eastAsia"/>
          <w:sz w:val="28"/>
          <w:szCs w:val="28"/>
          <w:lang w:val="en-US" w:eastAsia="zh-CN"/>
        </w:rPr>
      </w:pPr>
      <w:r>
        <w:rPr>
          <w:rFonts w:hint="eastAsia"/>
          <w:sz w:val="28"/>
          <w:szCs w:val="28"/>
          <w:lang w:val="en-US" w:eastAsia="zh-CN"/>
        </w:rPr>
        <w:t xml:space="preserve">   调研数据显示，用人单位对毕业生专业对口的关注度较高，为83.87%。说明用人单位希望招聘专业对口的毕业生，能真正发挥毕业生的专业优势。但也有16.13%的用人单位不关注专业是否对口。</w:t>
      </w:r>
    </w:p>
    <w:p>
      <w:pPr>
        <w:ind w:firstLine="400" w:firstLineChars="200"/>
        <w:jc w:val="center"/>
        <w:rPr>
          <w:rFonts w:hint="default"/>
          <w:sz w:val="28"/>
          <w:szCs w:val="28"/>
          <w:lang w:val="en-US" w:eastAsia="zh-CN"/>
        </w:rPr>
      </w:pPr>
      <w:r>
        <w:rPr>
          <w:rFonts w:hint="eastAsia" w:asciiTheme="minorEastAsia" w:hAnsiTheme="minorEastAsia" w:eastAsiaTheme="minorEastAsia"/>
          <w:sz w:val="20"/>
          <w:szCs w:val="20"/>
          <w:lang w:val="en-US" w:eastAsia="zh-CN"/>
        </w:rPr>
        <w:t>图</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9</w:t>
      </w:r>
      <w:r>
        <w:rPr>
          <w:rFonts w:asciiTheme="minorEastAsia" w:hAnsiTheme="minorEastAsia" w:eastAsiaTheme="minorEastAsia"/>
          <w:sz w:val="20"/>
          <w:szCs w:val="20"/>
          <w:lang w:val="ru-RU"/>
        </w:rPr>
        <w:t>-</w:t>
      </w:r>
      <w:r>
        <w:rPr>
          <w:rFonts w:hint="eastAsia" w:asciiTheme="minorEastAsia" w:hAnsiTheme="minorEastAsia" w:eastAsiaTheme="minorEastAsia"/>
          <w:sz w:val="20"/>
          <w:szCs w:val="20"/>
          <w:lang w:val="en-US" w:eastAsia="zh-CN"/>
        </w:rPr>
        <w:t>5 参与调研单位对毕业生的专业对口关注度</w:t>
      </w:r>
    </w:p>
    <w:p>
      <w:pPr>
        <w:numPr>
          <w:ilvl w:val="0"/>
          <w:numId w:val="0"/>
        </w:numPr>
        <w:jc w:val="left"/>
        <w:rPr>
          <w:rFonts w:hint="default"/>
          <w:sz w:val="28"/>
          <w:szCs w:val="28"/>
          <w:lang w:val="en-US" w:eastAsia="zh-CN"/>
        </w:rPr>
      </w:pPr>
      <w:r>
        <w:rPr>
          <w:rFonts w:hint="eastAsia"/>
          <w:sz w:val="28"/>
          <w:szCs w:val="28"/>
          <w:lang w:val="en-US" w:eastAsia="zh-CN"/>
        </w:rPr>
        <w:t xml:space="preserve">       </w:t>
      </w:r>
      <w:r>
        <w:rPr>
          <w:rFonts w:hint="default"/>
          <w:sz w:val="28"/>
          <w:szCs w:val="28"/>
          <w:lang w:val="en-US" w:eastAsia="zh-CN"/>
        </w:rPr>
        <w:drawing>
          <wp:inline distT="0" distB="0" distL="114300" distR="114300">
            <wp:extent cx="4255135" cy="2091055"/>
            <wp:effectExtent l="5080" t="4445" r="6985" b="19050"/>
            <wp:docPr id="68" name="图表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pPr>
        <w:numPr>
          <w:ilvl w:val="0"/>
          <w:numId w:val="0"/>
        </w:numPr>
        <w:jc w:val="left"/>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注：关注度=非常关注+比较关注+一般</w:t>
      </w:r>
    </w:p>
    <w:p>
      <w:pPr>
        <w:numPr>
          <w:ilvl w:val="0"/>
          <w:numId w:val="0"/>
        </w:numPr>
        <w:jc w:val="left"/>
        <w:rPr>
          <w:rFonts w:hint="eastAsia" w:asciiTheme="minorEastAsia" w:hAnsiTheme="minorEastAsia" w:eastAsiaTheme="minorEastAsia"/>
          <w:sz w:val="20"/>
          <w:szCs w:val="20"/>
          <w:lang w:val="en-US" w:eastAsia="zh-CN"/>
        </w:rPr>
      </w:pPr>
    </w:p>
    <w:p>
      <w:pPr>
        <w:numPr>
          <w:ilvl w:val="0"/>
          <w:numId w:val="13"/>
        </w:numPr>
        <w:ind w:left="0" w:leftChars="0" w:firstLine="0" w:firstLineChars="0"/>
        <w:jc w:val="left"/>
        <w:rPr>
          <w:rFonts w:hint="eastAsia"/>
          <w:sz w:val="28"/>
          <w:szCs w:val="28"/>
          <w:lang w:val="en-US" w:eastAsia="zh-CN"/>
        </w:rPr>
      </w:pPr>
      <w:r>
        <w:rPr>
          <w:rFonts w:hint="eastAsia"/>
          <w:sz w:val="28"/>
          <w:szCs w:val="28"/>
          <w:lang w:val="en-US" w:eastAsia="zh-CN"/>
        </w:rPr>
        <w:t>用人单位录用毕业生看重的因素</w:t>
      </w:r>
    </w:p>
    <w:p>
      <w:pPr>
        <w:numPr>
          <w:ilvl w:val="0"/>
          <w:numId w:val="0"/>
        </w:numPr>
        <w:ind w:leftChars="0"/>
        <w:jc w:val="left"/>
        <w:rPr>
          <w:rFonts w:hint="default" w:ascii="宋体" w:hAnsi="宋体" w:cs="宋体"/>
          <w:sz w:val="24"/>
          <w:szCs w:val="24"/>
          <w:lang w:val="en-US" w:eastAsia="zh-CN"/>
        </w:rPr>
      </w:pPr>
      <w:r>
        <w:rPr>
          <w:rFonts w:hint="eastAsia"/>
          <w:sz w:val="28"/>
          <w:szCs w:val="28"/>
          <w:lang w:val="en-US" w:eastAsia="zh-CN"/>
        </w:rPr>
        <w:t xml:space="preserve">    调研数据显示，用人单位录用毕业生时比较看重的因素排名前三位的是“综合素质”、“人品素质、忠诚度、责任心”、“社会适应能力”，占比分别为74.19%、67.74%、41.94%。</w:t>
      </w:r>
      <w:r>
        <w:rPr>
          <w:rFonts w:hint="default" w:ascii="宋体" w:hAnsi="宋体" w:cs="宋体"/>
          <w:sz w:val="24"/>
          <w:szCs w:val="24"/>
          <w:lang w:val="en-US" w:eastAsia="zh-CN"/>
        </w:rPr>
        <w:drawing>
          <wp:inline distT="0" distB="0" distL="114300" distR="114300">
            <wp:extent cx="5391150" cy="2019300"/>
            <wp:effectExtent l="4445" t="4445" r="14605" b="14605"/>
            <wp:docPr id="69" name="图表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pPr>
        <w:ind w:firstLine="400" w:firstLineChars="200"/>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图</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9</w:t>
      </w:r>
      <w:r>
        <w:rPr>
          <w:rFonts w:asciiTheme="minorEastAsia" w:hAnsiTheme="minorEastAsia" w:eastAsiaTheme="minorEastAsia"/>
          <w:sz w:val="20"/>
          <w:szCs w:val="20"/>
          <w:lang w:val="ru-RU"/>
        </w:rPr>
        <w:t>-</w:t>
      </w:r>
      <w:r>
        <w:rPr>
          <w:rFonts w:hint="eastAsia" w:asciiTheme="minorEastAsia" w:hAnsiTheme="minorEastAsia" w:eastAsiaTheme="minorEastAsia"/>
          <w:sz w:val="20"/>
          <w:szCs w:val="20"/>
          <w:lang w:val="en-US" w:eastAsia="zh-CN"/>
        </w:rPr>
        <w:t>6 参与调研单位录用毕业生看重的因素（多选）</w:t>
      </w:r>
    </w:p>
    <w:p>
      <w:pPr>
        <w:pStyle w:val="6"/>
        <w:rPr>
          <w:rFonts w:hint="eastAsia"/>
          <w:lang w:val="en-US" w:eastAsia="zh-CN"/>
        </w:rPr>
      </w:pPr>
    </w:p>
    <w:p>
      <w:pPr>
        <w:numPr>
          <w:ilvl w:val="0"/>
          <w:numId w:val="0"/>
        </w:numPr>
        <w:ind w:leftChars="0"/>
        <w:jc w:val="left"/>
        <w:rPr>
          <w:rFonts w:hint="default"/>
          <w:sz w:val="28"/>
          <w:szCs w:val="28"/>
          <w:highlight w:val="none"/>
          <w:lang w:val="en-US" w:eastAsia="zh-CN"/>
        </w:rPr>
      </w:pPr>
      <w:r>
        <w:rPr>
          <w:rFonts w:hint="eastAsia"/>
          <w:sz w:val="28"/>
          <w:szCs w:val="28"/>
          <w:highlight w:val="none"/>
          <w:lang w:val="en-US" w:eastAsia="zh-CN"/>
        </w:rPr>
        <w:t>三、用人单位对毕业生的评价与反馈</w:t>
      </w:r>
    </w:p>
    <w:p>
      <w:pPr>
        <w:numPr>
          <w:ilvl w:val="0"/>
          <w:numId w:val="0"/>
        </w:numPr>
        <w:ind w:leftChars="0"/>
        <w:jc w:val="left"/>
        <w:rPr>
          <w:rFonts w:hint="default"/>
          <w:sz w:val="28"/>
          <w:szCs w:val="28"/>
          <w:lang w:val="en-US" w:eastAsia="zh-CN"/>
        </w:rPr>
      </w:pPr>
      <w:r>
        <w:rPr>
          <w:rFonts w:hint="eastAsia"/>
          <w:sz w:val="28"/>
          <w:szCs w:val="28"/>
          <w:lang w:val="en-US" w:eastAsia="zh-CN"/>
        </w:rPr>
        <w:t>（一）用人单位对毕业生的满意度</w:t>
      </w:r>
    </w:p>
    <w:p>
      <w:pPr>
        <w:ind w:firstLine="560" w:firstLineChars="200"/>
        <w:jc w:val="left"/>
        <w:rPr>
          <w:rFonts w:hint="eastAsia"/>
          <w:sz w:val="28"/>
          <w:szCs w:val="28"/>
          <w:lang w:val="en-US" w:eastAsia="zh-CN"/>
        </w:rPr>
      </w:pPr>
      <w:r>
        <w:rPr>
          <w:rFonts w:hint="eastAsia"/>
          <w:sz w:val="28"/>
          <w:szCs w:val="28"/>
          <w:lang w:val="en-US" w:eastAsia="zh-CN"/>
        </w:rPr>
        <w:t>调研数据显示，用人单位对学校毕业生的满意度高达100%。其中表示“非常满意”的占到35.49%。这表明学校毕业生的学生获得社会认可度高。</w:t>
      </w:r>
    </w:p>
    <w:p>
      <w:pPr>
        <w:ind w:firstLine="560" w:firstLineChars="200"/>
        <w:jc w:val="left"/>
        <w:rPr>
          <w:rFonts w:hint="default"/>
          <w:sz w:val="28"/>
          <w:szCs w:val="28"/>
          <w:lang w:val="en-US" w:eastAsia="zh-CN"/>
        </w:rPr>
      </w:pPr>
      <w:r>
        <w:rPr>
          <w:rFonts w:hint="eastAsia"/>
          <w:sz w:val="28"/>
          <w:szCs w:val="28"/>
          <w:lang w:val="en-US" w:eastAsia="zh-CN"/>
        </w:rPr>
        <w:t xml:space="preserve">       </w:t>
      </w:r>
      <w:r>
        <w:rPr>
          <w:rFonts w:hint="default"/>
          <w:sz w:val="28"/>
          <w:szCs w:val="28"/>
          <w:lang w:val="en-US" w:eastAsia="zh-CN"/>
        </w:rPr>
        <w:drawing>
          <wp:inline distT="0" distB="0" distL="114300" distR="114300">
            <wp:extent cx="3381375" cy="2165985"/>
            <wp:effectExtent l="5080" t="4445" r="4445" b="20320"/>
            <wp:docPr id="70" name="图表 70"/>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pPr>
        <w:ind w:firstLine="400" w:firstLineChars="200"/>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图</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9</w:t>
      </w:r>
      <w:r>
        <w:rPr>
          <w:rFonts w:asciiTheme="minorEastAsia" w:hAnsiTheme="minorEastAsia" w:eastAsiaTheme="minorEastAsia"/>
          <w:sz w:val="20"/>
          <w:szCs w:val="20"/>
          <w:lang w:val="ru-RU"/>
        </w:rPr>
        <w:t>-</w:t>
      </w:r>
      <w:r>
        <w:rPr>
          <w:rFonts w:hint="eastAsia" w:asciiTheme="minorEastAsia" w:hAnsiTheme="minorEastAsia" w:eastAsiaTheme="minorEastAsia"/>
          <w:sz w:val="20"/>
          <w:szCs w:val="20"/>
          <w:lang w:val="en-US" w:eastAsia="zh-CN"/>
        </w:rPr>
        <w:t>7 参与调研单位对毕业生的满意度</w:t>
      </w:r>
    </w:p>
    <w:p>
      <w:pPr>
        <w:jc w:val="both"/>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注：满意度=非常满意+比较满意+满意</w:t>
      </w:r>
    </w:p>
    <w:p>
      <w:pPr>
        <w:jc w:val="both"/>
        <w:rPr>
          <w:rFonts w:hint="eastAsia" w:asciiTheme="minorEastAsia" w:hAnsiTheme="minorEastAsia" w:eastAsiaTheme="minorEastAsia"/>
          <w:sz w:val="20"/>
          <w:szCs w:val="20"/>
          <w:lang w:val="en-US" w:eastAsia="zh-CN"/>
        </w:rPr>
      </w:pPr>
    </w:p>
    <w:p>
      <w:pPr>
        <w:numPr>
          <w:ilvl w:val="0"/>
          <w:numId w:val="0"/>
        </w:numPr>
        <w:ind w:leftChars="0"/>
        <w:jc w:val="left"/>
        <w:rPr>
          <w:rFonts w:hint="eastAsia"/>
          <w:sz w:val="28"/>
          <w:szCs w:val="28"/>
          <w:highlight w:val="yellow"/>
          <w:lang w:val="en-US" w:eastAsia="zh-CN"/>
        </w:rPr>
      </w:pPr>
      <w:r>
        <w:rPr>
          <w:rFonts w:hint="eastAsia"/>
          <w:sz w:val="28"/>
          <w:szCs w:val="28"/>
          <w:highlight w:val="none"/>
          <w:lang w:val="en-US" w:eastAsia="zh-CN"/>
        </w:rPr>
        <w:t>（二）用人单位对毕业生能力和素质评价</w:t>
      </w:r>
    </w:p>
    <w:p>
      <w:pPr>
        <w:numPr>
          <w:ilvl w:val="0"/>
          <w:numId w:val="0"/>
        </w:numPr>
        <w:ind w:leftChars="0" w:firstLine="560"/>
        <w:jc w:val="left"/>
        <w:rPr>
          <w:rFonts w:hint="default"/>
          <w:sz w:val="28"/>
          <w:szCs w:val="28"/>
          <w:lang w:val="en-US" w:eastAsia="zh-CN"/>
        </w:rPr>
      </w:pPr>
      <w:r>
        <w:rPr>
          <w:rFonts w:hint="eastAsia"/>
          <w:sz w:val="28"/>
          <w:szCs w:val="28"/>
          <w:lang w:val="en-US" w:eastAsia="zh-CN"/>
        </w:rPr>
        <w:t>调研数据显示，用人单位对毕业生能力和素质的总体评价较高，其中相对较高的方面主要为“政治思想觉悟与表现（爱国奉献、爱岗敬业、诚信友善）”（54.84%）、“责任心和担当精神”（29.03%）、“应对压力挫折表现”（9.68%）。</w:t>
      </w:r>
    </w:p>
    <w:p>
      <w:pPr>
        <w:numPr>
          <w:ilvl w:val="0"/>
          <w:numId w:val="0"/>
        </w:numPr>
        <w:jc w:val="left"/>
        <w:rPr>
          <w:rFonts w:hint="default"/>
          <w:sz w:val="28"/>
          <w:szCs w:val="28"/>
          <w:lang w:val="en-US" w:eastAsia="zh-CN"/>
        </w:rPr>
      </w:pPr>
      <w:r>
        <w:rPr>
          <w:rFonts w:hint="eastAsia"/>
          <w:sz w:val="28"/>
          <w:szCs w:val="28"/>
          <w:lang w:val="en-US" w:eastAsia="zh-CN"/>
        </w:rPr>
        <w:t xml:space="preserve">    </w:t>
      </w:r>
      <w:r>
        <w:rPr>
          <w:rFonts w:hint="default"/>
          <w:sz w:val="28"/>
          <w:szCs w:val="28"/>
          <w:lang w:val="en-US" w:eastAsia="zh-CN"/>
        </w:rPr>
        <w:drawing>
          <wp:inline distT="0" distB="0" distL="114300" distR="114300">
            <wp:extent cx="4597400" cy="1355725"/>
            <wp:effectExtent l="4445" t="4445" r="8255" b="11430"/>
            <wp:docPr id="71" name="图表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pPr>
        <w:ind w:firstLine="400" w:firstLineChars="200"/>
        <w:jc w:val="center"/>
        <w:rPr>
          <w:rFonts w:hint="eastAsia"/>
          <w:lang w:val="en-US" w:eastAsia="zh-CN"/>
        </w:rPr>
      </w:pPr>
      <w:r>
        <w:rPr>
          <w:rFonts w:hint="eastAsia" w:asciiTheme="minorEastAsia" w:hAnsiTheme="minorEastAsia" w:eastAsiaTheme="minorEastAsia"/>
          <w:sz w:val="20"/>
          <w:szCs w:val="20"/>
          <w:lang w:val="en-US" w:eastAsia="zh-CN"/>
        </w:rPr>
        <w:t>图</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9</w:t>
      </w:r>
      <w:r>
        <w:rPr>
          <w:rFonts w:asciiTheme="minorEastAsia" w:hAnsiTheme="minorEastAsia" w:eastAsiaTheme="minorEastAsia"/>
          <w:sz w:val="20"/>
          <w:szCs w:val="20"/>
          <w:lang w:val="ru-RU"/>
        </w:rPr>
        <w:t>-</w:t>
      </w:r>
      <w:r>
        <w:rPr>
          <w:rFonts w:hint="eastAsia" w:asciiTheme="minorEastAsia" w:hAnsiTheme="minorEastAsia" w:eastAsiaTheme="minorEastAsia"/>
          <w:sz w:val="20"/>
          <w:szCs w:val="20"/>
          <w:lang w:val="en-US" w:eastAsia="zh-CN"/>
        </w:rPr>
        <w:t>8 参与调研单位对毕业生能力和素质评价</w:t>
      </w:r>
    </w:p>
    <w:p>
      <w:pPr>
        <w:numPr>
          <w:ilvl w:val="0"/>
          <w:numId w:val="0"/>
        </w:numPr>
        <w:ind w:leftChars="0"/>
        <w:jc w:val="left"/>
        <w:rPr>
          <w:rFonts w:hint="eastAsia"/>
          <w:sz w:val="28"/>
          <w:szCs w:val="28"/>
          <w:highlight w:val="none"/>
          <w:lang w:val="en-US" w:eastAsia="zh-CN"/>
        </w:rPr>
      </w:pPr>
    </w:p>
    <w:p>
      <w:pPr>
        <w:numPr>
          <w:ilvl w:val="0"/>
          <w:numId w:val="0"/>
        </w:numPr>
        <w:ind w:leftChars="0"/>
        <w:jc w:val="left"/>
        <w:rPr>
          <w:rFonts w:hint="default"/>
          <w:sz w:val="28"/>
          <w:szCs w:val="28"/>
          <w:highlight w:val="none"/>
          <w:lang w:val="en-US" w:eastAsia="zh-CN"/>
        </w:rPr>
      </w:pPr>
      <w:r>
        <w:rPr>
          <w:rFonts w:hint="eastAsia"/>
          <w:sz w:val="28"/>
          <w:szCs w:val="28"/>
          <w:highlight w:val="none"/>
          <w:lang w:val="en-US" w:eastAsia="zh-CN"/>
        </w:rPr>
        <w:t>（三）用人单位对毕业生求职的反馈</w:t>
      </w:r>
    </w:p>
    <w:p>
      <w:pPr>
        <w:ind w:firstLine="560" w:firstLineChars="200"/>
        <w:jc w:val="left"/>
        <w:rPr>
          <w:rFonts w:hint="default"/>
          <w:sz w:val="28"/>
          <w:szCs w:val="28"/>
          <w:lang w:val="en-US" w:eastAsia="zh-CN"/>
        </w:rPr>
      </w:pPr>
      <w:r>
        <w:rPr>
          <w:rFonts w:hint="eastAsia"/>
          <w:sz w:val="28"/>
          <w:szCs w:val="28"/>
          <w:lang w:val="en-US" w:eastAsia="zh-CN"/>
        </w:rPr>
        <w:t xml:space="preserve">调研数据显示，在求职方面，用人单位认为高校毕业生对“表达沟通”（38.71%）有一定要求，另外也应加强“职业素养”（35.48%）的培养和学生“求职技巧”（32.26%）的训练。               </w:t>
      </w:r>
      <w:r>
        <w:rPr>
          <w:rFonts w:hint="default"/>
          <w:sz w:val="28"/>
          <w:szCs w:val="28"/>
          <w:lang w:val="en-US" w:eastAsia="zh-CN"/>
        </w:rPr>
        <w:drawing>
          <wp:inline distT="0" distB="0" distL="114300" distR="114300">
            <wp:extent cx="5001260" cy="2374265"/>
            <wp:effectExtent l="4445" t="4445" r="23495" b="21590"/>
            <wp:docPr id="72" name="图表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pPr>
        <w:ind w:firstLine="400" w:firstLineChars="200"/>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图</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9</w:t>
      </w:r>
      <w:r>
        <w:rPr>
          <w:rFonts w:asciiTheme="minorEastAsia" w:hAnsiTheme="minorEastAsia" w:eastAsiaTheme="minorEastAsia"/>
          <w:sz w:val="20"/>
          <w:szCs w:val="20"/>
          <w:lang w:val="ru-RU"/>
        </w:rPr>
        <w:t>-</w:t>
      </w:r>
      <w:r>
        <w:rPr>
          <w:rFonts w:hint="eastAsia" w:asciiTheme="minorEastAsia" w:hAnsiTheme="minorEastAsia" w:eastAsiaTheme="minorEastAsia"/>
          <w:sz w:val="20"/>
          <w:szCs w:val="20"/>
          <w:lang w:val="en-US" w:eastAsia="zh-CN"/>
        </w:rPr>
        <w:t>9 参与调研单位对毕业生的求职改进建议（多选题）</w:t>
      </w:r>
    </w:p>
    <w:p>
      <w:pPr>
        <w:ind w:firstLine="400" w:firstLineChars="200"/>
        <w:jc w:val="center"/>
        <w:rPr>
          <w:rFonts w:hint="eastAsia" w:asciiTheme="minorEastAsia" w:hAnsiTheme="minorEastAsia" w:eastAsiaTheme="minorEastAsia"/>
          <w:sz w:val="20"/>
          <w:szCs w:val="20"/>
          <w:lang w:val="en-US" w:eastAsia="zh-CN"/>
        </w:rPr>
      </w:pPr>
    </w:p>
    <w:p>
      <w:pPr>
        <w:numPr>
          <w:ilvl w:val="0"/>
          <w:numId w:val="0"/>
        </w:numPr>
        <w:ind w:leftChars="0"/>
        <w:jc w:val="left"/>
        <w:rPr>
          <w:rFonts w:hint="default"/>
          <w:sz w:val="28"/>
          <w:szCs w:val="28"/>
          <w:highlight w:val="none"/>
          <w:lang w:val="en-US" w:eastAsia="zh-CN"/>
        </w:rPr>
      </w:pPr>
      <w:r>
        <w:rPr>
          <w:rFonts w:hint="eastAsia"/>
          <w:sz w:val="28"/>
          <w:szCs w:val="28"/>
          <w:highlight w:val="none"/>
          <w:lang w:val="en-US" w:eastAsia="zh-CN"/>
        </w:rPr>
        <w:t>四、用人单位对学校的评价与反馈</w:t>
      </w:r>
    </w:p>
    <w:p>
      <w:pPr>
        <w:jc w:val="left"/>
        <w:rPr>
          <w:rFonts w:hint="eastAsia"/>
          <w:sz w:val="28"/>
          <w:szCs w:val="28"/>
          <w:highlight w:val="none"/>
          <w:lang w:val="en-US" w:eastAsia="zh-CN"/>
        </w:rPr>
      </w:pPr>
      <w:r>
        <w:rPr>
          <w:rFonts w:hint="eastAsia"/>
          <w:sz w:val="28"/>
          <w:szCs w:val="28"/>
          <w:highlight w:val="none"/>
          <w:lang w:val="en-US" w:eastAsia="zh-CN"/>
        </w:rPr>
        <w:t>（一）用人单位对学校招聘服务和就业指导服务整体满意度</w:t>
      </w:r>
    </w:p>
    <w:p>
      <w:pPr>
        <w:ind w:firstLine="560" w:firstLineChars="200"/>
        <w:jc w:val="left"/>
        <w:rPr>
          <w:rFonts w:hint="eastAsia"/>
          <w:sz w:val="28"/>
          <w:szCs w:val="28"/>
          <w:lang w:val="en-US" w:eastAsia="zh-CN"/>
        </w:rPr>
      </w:pPr>
      <w:r>
        <w:rPr>
          <w:rFonts w:hint="eastAsia"/>
          <w:sz w:val="28"/>
          <w:szCs w:val="28"/>
          <w:highlight w:val="none"/>
          <w:lang w:val="en-US" w:eastAsia="zh-CN"/>
        </w:rPr>
        <w:t>调研数据显示，用人单位对学校招聘服务和就业指导服务满</w:t>
      </w:r>
      <w:r>
        <w:rPr>
          <w:rFonts w:hint="eastAsia"/>
          <w:sz w:val="28"/>
          <w:szCs w:val="28"/>
          <w:lang w:val="en-US" w:eastAsia="zh-CN"/>
        </w:rPr>
        <w:t>意度高达100%。其中表示“非常满意”的占到48.39%。这表明学校学院就业工作得到了用人单位的较高认可。</w:t>
      </w:r>
    </w:p>
    <w:p>
      <w:pPr>
        <w:pStyle w:val="10"/>
        <w:rPr>
          <w:rFonts w:hint="eastAsia"/>
          <w:sz w:val="28"/>
          <w:szCs w:val="28"/>
          <w:highlight w:val="yellow"/>
          <w:lang w:val="en-US" w:eastAsia="zh-CN"/>
        </w:rPr>
      </w:pPr>
      <w:r>
        <w:rPr>
          <w:rFonts w:hint="eastAsia"/>
          <w:sz w:val="28"/>
          <w:szCs w:val="28"/>
          <w:lang w:val="en-US" w:eastAsia="zh-CN"/>
        </w:rPr>
        <w:t xml:space="preserve">   </w:t>
      </w:r>
      <w:r>
        <w:rPr>
          <w:rFonts w:hint="default"/>
          <w:sz w:val="28"/>
          <w:szCs w:val="28"/>
          <w:lang w:val="en-US" w:eastAsia="zh-CN"/>
        </w:rPr>
        <w:drawing>
          <wp:inline distT="0" distB="0" distL="114300" distR="114300">
            <wp:extent cx="3566160" cy="1571625"/>
            <wp:effectExtent l="4445" t="4445" r="10795" b="508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pPr>
        <w:ind w:firstLine="400" w:firstLineChars="200"/>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图</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9</w:t>
      </w:r>
      <w:r>
        <w:rPr>
          <w:rFonts w:asciiTheme="minorEastAsia" w:hAnsiTheme="minorEastAsia" w:eastAsiaTheme="minorEastAsia"/>
          <w:sz w:val="20"/>
          <w:szCs w:val="20"/>
          <w:lang w:val="ru-RU"/>
        </w:rPr>
        <w:t>-</w:t>
      </w:r>
      <w:r>
        <w:rPr>
          <w:rFonts w:hint="eastAsia" w:asciiTheme="minorEastAsia" w:hAnsiTheme="minorEastAsia" w:eastAsiaTheme="minorEastAsia"/>
          <w:sz w:val="20"/>
          <w:szCs w:val="20"/>
          <w:lang w:val="en-US" w:eastAsia="zh-CN"/>
        </w:rPr>
        <w:t>10 参与调研单位对学校招聘服务和就业指导服务</w:t>
      </w:r>
    </w:p>
    <w:p>
      <w:pPr>
        <w:jc w:val="both"/>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注：满意度=非常满意+比较满意+满意</w:t>
      </w:r>
    </w:p>
    <w:p>
      <w:pPr>
        <w:ind w:firstLine="400" w:firstLineChars="200"/>
        <w:jc w:val="center"/>
        <w:rPr>
          <w:rFonts w:hint="eastAsia" w:asciiTheme="minorEastAsia" w:hAnsiTheme="minorEastAsia" w:eastAsiaTheme="minorEastAsia"/>
          <w:sz w:val="20"/>
          <w:szCs w:val="20"/>
          <w:lang w:val="en-US" w:eastAsia="zh-CN"/>
        </w:rPr>
      </w:pPr>
    </w:p>
    <w:p>
      <w:pPr>
        <w:jc w:val="left"/>
        <w:rPr>
          <w:rFonts w:hint="default"/>
          <w:sz w:val="28"/>
          <w:szCs w:val="28"/>
          <w:highlight w:val="none"/>
          <w:lang w:val="en-US" w:eastAsia="zh-CN"/>
        </w:rPr>
      </w:pPr>
      <w:r>
        <w:rPr>
          <w:rFonts w:hint="eastAsia"/>
          <w:sz w:val="28"/>
          <w:szCs w:val="28"/>
          <w:highlight w:val="none"/>
          <w:lang w:val="en-US" w:eastAsia="zh-CN"/>
        </w:rPr>
        <w:t>（二）各项就业服务亟需改进的评价</w:t>
      </w:r>
    </w:p>
    <w:p>
      <w:pPr>
        <w:ind w:firstLine="560" w:firstLineChars="200"/>
        <w:jc w:val="left"/>
        <w:rPr>
          <w:rFonts w:hint="default"/>
          <w:sz w:val="28"/>
          <w:szCs w:val="28"/>
          <w:lang w:val="en-US" w:eastAsia="zh-CN"/>
        </w:rPr>
      </w:pPr>
      <w:r>
        <w:rPr>
          <w:rFonts w:hint="eastAsia"/>
          <w:sz w:val="28"/>
          <w:szCs w:val="28"/>
          <w:lang w:val="en-US" w:eastAsia="zh-CN"/>
        </w:rPr>
        <w:t>调研样本的用人单位认为高校就业服务方面最需要改进的是“加强毕业生就业指导”（41.94%），其次为“增加校园招聘会场次”、“及时更新发布招聘信息”、“加强校企沟通”（均25.81%）。</w:t>
      </w:r>
      <w:r>
        <w:rPr>
          <w:rFonts w:hint="default"/>
          <w:sz w:val="28"/>
          <w:szCs w:val="28"/>
          <w:lang w:val="en-US" w:eastAsia="zh-CN"/>
        </w:rPr>
        <w:drawing>
          <wp:inline distT="0" distB="0" distL="114300" distR="114300">
            <wp:extent cx="5544185" cy="2252980"/>
            <wp:effectExtent l="4445" t="4445" r="13970" b="9525"/>
            <wp:docPr id="75" name="图表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pPr>
        <w:ind w:firstLine="400" w:firstLineChars="200"/>
        <w:jc w:val="center"/>
        <w:rPr>
          <w:rFonts w:hint="eastAsia"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en-US" w:eastAsia="zh-CN"/>
        </w:rPr>
        <w:t>图</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9</w:t>
      </w:r>
      <w:r>
        <w:rPr>
          <w:rFonts w:asciiTheme="minorEastAsia" w:hAnsiTheme="minorEastAsia" w:eastAsiaTheme="minorEastAsia"/>
          <w:sz w:val="20"/>
          <w:szCs w:val="20"/>
          <w:lang w:val="ru-RU"/>
        </w:rPr>
        <w:t>-</w:t>
      </w:r>
      <w:r>
        <w:rPr>
          <w:rFonts w:hint="eastAsia" w:asciiTheme="minorEastAsia" w:hAnsiTheme="minorEastAsia" w:eastAsiaTheme="minorEastAsia"/>
          <w:sz w:val="20"/>
          <w:szCs w:val="20"/>
          <w:lang w:val="en-US" w:eastAsia="zh-CN"/>
        </w:rPr>
        <w:t>11 参与调研单位认为学校应加强的就业工作（多选</w:t>
      </w:r>
      <w:r>
        <w:rPr>
          <w:rFonts w:hint="eastAsia" w:asciiTheme="minorEastAsia" w:hAnsiTheme="minorEastAsia" w:eastAsiaTheme="minorEastAsia"/>
          <w:sz w:val="20"/>
          <w:szCs w:val="20"/>
          <w:highlight w:val="none"/>
          <w:lang w:val="en-US" w:eastAsia="zh-CN"/>
        </w:rPr>
        <w:t>题</w:t>
      </w:r>
      <w:r>
        <w:rPr>
          <w:rFonts w:hint="eastAsia" w:asciiTheme="minorEastAsia" w:hAnsiTheme="minorEastAsia" w:eastAsiaTheme="minorEastAsia"/>
          <w:sz w:val="20"/>
          <w:szCs w:val="20"/>
          <w:lang w:val="en-US" w:eastAsia="zh-CN"/>
        </w:rPr>
        <w:t>）</w:t>
      </w:r>
    </w:p>
    <w:p>
      <w:pPr>
        <w:pStyle w:val="6"/>
        <w:rPr>
          <w:rFonts w:hint="eastAsia" w:asciiTheme="minorEastAsia" w:hAnsiTheme="minorEastAsia" w:eastAsiaTheme="minorEastAsia"/>
          <w:sz w:val="20"/>
          <w:szCs w:val="20"/>
          <w:lang w:val="en-US" w:eastAsia="zh-CN"/>
        </w:rPr>
      </w:pPr>
    </w:p>
    <w:p>
      <w:pPr>
        <w:pStyle w:val="2"/>
        <w:rPr>
          <w:rFonts w:hint="eastAsia" w:asciiTheme="minorEastAsia" w:hAnsiTheme="minorEastAsia" w:eastAsiaTheme="minorEastAsia"/>
          <w:sz w:val="20"/>
          <w:szCs w:val="20"/>
          <w:lang w:val="en-US" w:eastAsia="zh-CN"/>
        </w:rPr>
      </w:pPr>
    </w:p>
    <w:p>
      <w:pPr>
        <w:rPr>
          <w:rFonts w:hint="eastAsia" w:asciiTheme="minorEastAsia" w:hAnsiTheme="minorEastAsia" w:eastAsiaTheme="minorEastAsia"/>
          <w:sz w:val="20"/>
          <w:szCs w:val="20"/>
          <w:lang w:val="en-US" w:eastAsia="zh-CN"/>
        </w:rPr>
      </w:pPr>
    </w:p>
    <w:p>
      <w:pPr>
        <w:pStyle w:val="6"/>
        <w:rPr>
          <w:rFonts w:hint="eastAsia" w:asciiTheme="minorEastAsia" w:hAnsiTheme="minorEastAsia" w:eastAsiaTheme="minorEastAsia"/>
          <w:sz w:val="20"/>
          <w:szCs w:val="20"/>
          <w:lang w:val="en-US" w:eastAsia="zh-CN"/>
        </w:rPr>
      </w:pPr>
    </w:p>
    <w:p>
      <w:pPr>
        <w:pStyle w:val="2"/>
        <w:rPr>
          <w:rFonts w:hint="eastAsia" w:asciiTheme="minorEastAsia" w:hAnsiTheme="minorEastAsia" w:eastAsiaTheme="minorEastAsia"/>
          <w:sz w:val="20"/>
          <w:szCs w:val="20"/>
          <w:lang w:val="en-US" w:eastAsia="zh-CN"/>
        </w:rPr>
      </w:pPr>
    </w:p>
    <w:p>
      <w:pPr>
        <w:rPr>
          <w:rFonts w:hint="eastAsia" w:asciiTheme="minorEastAsia" w:hAnsiTheme="minorEastAsia" w:eastAsiaTheme="minorEastAsia"/>
          <w:sz w:val="20"/>
          <w:szCs w:val="20"/>
          <w:lang w:val="en-US" w:eastAsia="zh-CN"/>
        </w:rPr>
      </w:pPr>
    </w:p>
    <w:p>
      <w:pPr>
        <w:pStyle w:val="6"/>
        <w:rPr>
          <w:rFonts w:hint="eastAsia" w:asciiTheme="minorEastAsia" w:hAnsiTheme="minorEastAsia" w:eastAsiaTheme="minorEastAsia"/>
          <w:sz w:val="20"/>
          <w:szCs w:val="20"/>
          <w:lang w:val="en-US" w:eastAsia="zh-CN"/>
        </w:rPr>
      </w:pPr>
    </w:p>
    <w:p>
      <w:pPr>
        <w:pStyle w:val="2"/>
        <w:rPr>
          <w:rFonts w:hint="eastAsia" w:asciiTheme="minorEastAsia" w:hAnsiTheme="minorEastAsia" w:eastAsiaTheme="minorEastAsia"/>
          <w:sz w:val="20"/>
          <w:szCs w:val="20"/>
          <w:lang w:val="en-US" w:eastAsia="zh-CN"/>
        </w:rPr>
      </w:pPr>
    </w:p>
    <w:p>
      <w:pPr>
        <w:rPr>
          <w:rFonts w:hint="eastAsia" w:asciiTheme="minorEastAsia" w:hAnsiTheme="minorEastAsia" w:eastAsiaTheme="minorEastAsia"/>
          <w:sz w:val="20"/>
          <w:szCs w:val="20"/>
          <w:lang w:val="en-US" w:eastAsia="zh-CN"/>
        </w:rPr>
      </w:pPr>
    </w:p>
    <w:p>
      <w:pPr>
        <w:pStyle w:val="6"/>
        <w:rPr>
          <w:rFonts w:hint="eastAsia" w:asciiTheme="minorEastAsia" w:hAnsiTheme="minorEastAsia" w:eastAsiaTheme="minorEastAsia"/>
          <w:sz w:val="20"/>
          <w:szCs w:val="20"/>
          <w:lang w:val="en-US" w:eastAsia="zh-CN"/>
        </w:rPr>
      </w:pPr>
    </w:p>
    <w:p>
      <w:pPr>
        <w:pStyle w:val="2"/>
        <w:rPr>
          <w:rFonts w:hint="eastAsia" w:asciiTheme="minorEastAsia" w:hAnsiTheme="minorEastAsia" w:eastAsiaTheme="minorEastAsia"/>
          <w:sz w:val="20"/>
          <w:szCs w:val="20"/>
          <w:lang w:val="en-US" w:eastAsia="zh-CN"/>
        </w:rPr>
      </w:pPr>
    </w:p>
    <w:p>
      <w:pPr>
        <w:rPr>
          <w:rFonts w:hint="eastAsia" w:asciiTheme="minorEastAsia" w:hAnsiTheme="minorEastAsia" w:eastAsiaTheme="minorEastAsia"/>
          <w:sz w:val="20"/>
          <w:szCs w:val="20"/>
          <w:lang w:val="en-US" w:eastAsia="zh-CN"/>
        </w:rPr>
      </w:pPr>
    </w:p>
    <w:p>
      <w:pPr>
        <w:pStyle w:val="6"/>
        <w:rPr>
          <w:rFonts w:hint="eastAsia" w:asciiTheme="minorEastAsia" w:hAnsiTheme="minorEastAsia" w:eastAsiaTheme="minorEastAsia"/>
          <w:sz w:val="20"/>
          <w:szCs w:val="20"/>
          <w:lang w:val="en-US" w:eastAsia="zh-CN"/>
        </w:rPr>
      </w:pPr>
    </w:p>
    <w:p>
      <w:pPr>
        <w:pStyle w:val="2"/>
        <w:rPr>
          <w:rFonts w:hint="eastAsia" w:asciiTheme="minorEastAsia" w:hAnsiTheme="minorEastAsia" w:eastAsiaTheme="minorEastAsia"/>
          <w:sz w:val="20"/>
          <w:szCs w:val="20"/>
          <w:lang w:val="en-US" w:eastAsia="zh-CN"/>
        </w:rPr>
      </w:pPr>
    </w:p>
    <w:p>
      <w:pPr>
        <w:rPr>
          <w:rFonts w:hint="eastAsia" w:asciiTheme="minorEastAsia" w:hAnsiTheme="minorEastAsia" w:eastAsiaTheme="minorEastAsia"/>
          <w:sz w:val="20"/>
          <w:szCs w:val="20"/>
          <w:lang w:val="en-US" w:eastAsia="zh-CN"/>
        </w:rPr>
      </w:pPr>
    </w:p>
    <w:p>
      <w:pPr>
        <w:pStyle w:val="6"/>
        <w:rPr>
          <w:rFonts w:hint="eastAsia" w:asciiTheme="minorEastAsia" w:hAnsiTheme="minorEastAsia" w:eastAsiaTheme="minorEastAsia"/>
          <w:sz w:val="20"/>
          <w:szCs w:val="20"/>
          <w:lang w:val="en-US" w:eastAsia="zh-CN"/>
        </w:rPr>
      </w:pPr>
    </w:p>
    <w:p>
      <w:pPr>
        <w:pStyle w:val="2"/>
        <w:rPr>
          <w:rFonts w:hint="eastAsia" w:asciiTheme="minorEastAsia" w:hAnsiTheme="minorEastAsia" w:eastAsiaTheme="minorEastAsia"/>
          <w:sz w:val="20"/>
          <w:szCs w:val="20"/>
          <w:lang w:val="en-US" w:eastAsia="zh-CN"/>
        </w:rPr>
      </w:pPr>
    </w:p>
    <w:p>
      <w:pPr>
        <w:rPr>
          <w:rFonts w:hint="eastAsia" w:asciiTheme="minorEastAsia" w:hAnsiTheme="minorEastAsia" w:eastAsiaTheme="minorEastAsia"/>
          <w:sz w:val="20"/>
          <w:szCs w:val="20"/>
          <w:lang w:val="en-US" w:eastAsia="zh-CN"/>
        </w:rPr>
      </w:pPr>
    </w:p>
    <w:p>
      <w:pPr>
        <w:pStyle w:val="6"/>
        <w:rPr>
          <w:rFonts w:hint="eastAsia" w:asciiTheme="minorEastAsia" w:hAnsiTheme="minorEastAsia" w:eastAsiaTheme="minorEastAsia"/>
          <w:sz w:val="20"/>
          <w:szCs w:val="20"/>
          <w:lang w:val="en-US" w:eastAsia="zh-CN"/>
        </w:rPr>
      </w:pPr>
    </w:p>
    <w:p>
      <w:pPr>
        <w:pStyle w:val="2"/>
        <w:rPr>
          <w:rFonts w:hint="eastAsia"/>
          <w:lang w:val="en-US" w:eastAsia="zh-CN"/>
        </w:rPr>
      </w:pPr>
    </w:p>
    <w:p>
      <w:pPr>
        <w:pStyle w:val="6"/>
        <w:rPr>
          <w:rFonts w:hint="eastAsia" w:asciiTheme="minorEastAsia" w:hAnsiTheme="minorEastAsia" w:eastAsiaTheme="minorEastAsia"/>
          <w:sz w:val="20"/>
          <w:szCs w:val="20"/>
          <w:lang w:val="en-US" w:eastAsia="zh-CN"/>
        </w:rPr>
      </w:pPr>
    </w:p>
    <w:p>
      <w:pPr>
        <w:pStyle w:val="2"/>
        <w:rPr>
          <w:rFonts w:hint="eastAsia"/>
          <w:lang w:val="ru-RU"/>
        </w:rPr>
      </w:pPr>
    </w:p>
    <w:p>
      <w:pPr>
        <w:rPr>
          <w:rFonts w:hint="eastAsia"/>
          <w:lang w:val="ru-RU"/>
        </w:rPr>
      </w:pPr>
    </w:p>
    <w:p>
      <w:pPr>
        <w:rPr>
          <w:rFonts w:hint="eastAsia"/>
          <w:lang w:val="ru-RU"/>
        </w:rPr>
      </w:pPr>
    </w:p>
    <w:p>
      <w:pPr>
        <w:numPr>
          <w:ilvl w:val="0"/>
          <w:numId w:val="0"/>
        </w:numPr>
        <w:jc w:val="center"/>
        <w:rPr>
          <w:sz w:val="36"/>
          <w:szCs w:val="36"/>
          <w:lang w:val="ru-RU"/>
        </w:rPr>
      </w:pPr>
      <w:r>
        <w:rPr>
          <w:rFonts w:hint="eastAsia"/>
          <w:sz w:val="36"/>
          <w:szCs w:val="36"/>
          <w:lang w:val="en-US" w:eastAsia="zh-CN"/>
        </w:rPr>
        <w:t>第十章</w:t>
      </w:r>
      <w:r>
        <w:rPr>
          <w:sz w:val="36"/>
          <w:szCs w:val="36"/>
          <w:lang w:val="ru-RU"/>
        </w:rPr>
        <w:t xml:space="preserve"> </w:t>
      </w:r>
      <w:r>
        <w:rPr>
          <w:rFonts w:hint="eastAsia"/>
          <w:sz w:val="36"/>
          <w:szCs w:val="36"/>
          <w:lang w:val="en-US" w:eastAsia="zh-CN"/>
        </w:rPr>
        <w:t xml:space="preserve"> </w:t>
      </w:r>
      <w:r>
        <w:rPr>
          <w:sz w:val="36"/>
          <w:szCs w:val="36"/>
          <w:lang w:val="ru-RU"/>
        </w:rPr>
        <w:t>20</w:t>
      </w:r>
      <w:r>
        <w:rPr>
          <w:rFonts w:hint="eastAsia"/>
          <w:sz w:val="36"/>
          <w:szCs w:val="36"/>
          <w:lang w:val="en-US" w:eastAsia="zh-CN"/>
        </w:rPr>
        <w:t>21</w:t>
      </w:r>
      <w:r>
        <w:rPr>
          <w:sz w:val="36"/>
          <w:szCs w:val="36"/>
          <w:lang w:val="ru-RU"/>
        </w:rPr>
        <w:t>-20</w:t>
      </w:r>
      <w:r>
        <w:rPr>
          <w:rFonts w:hint="eastAsia"/>
          <w:sz w:val="36"/>
          <w:szCs w:val="36"/>
          <w:lang w:val="en-US" w:eastAsia="zh-CN"/>
        </w:rPr>
        <w:t>23</w:t>
      </w:r>
      <w:r>
        <w:rPr>
          <w:sz w:val="36"/>
          <w:szCs w:val="36"/>
          <w:lang w:val="ru-RU"/>
        </w:rPr>
        <w:t>届毕业生就业发展趋势</w:t>
      </w:r>
    </w:p>
    <w:p>
      <w:pPr>
        <w:jc w:val="left"/>
        <w:rPr>
          <w:sz w:val="28"/>
          <w:szCs w:val="28"/>
          <w:lang w:val="ru-RU"/>
        </w:rPr>
      </w:pPr>
      <w:r>
        <w:rPr>
          <w:rFonts w:hint="eastAsia"/>
          <w:sz w:val="28"/>
          <w:szCs w:val="28"/>
          <w:lang w:val="en-US" w:eastAsia="zh-CN"/>
        </w:rPr>
        <w:t>一、</w:t>
      </w:r>
      <w:r>
        <w:rPr>
          <w:sz w:val="28"/>
          <w:szCs w:val="28"/>
          <w:lang w:val="ru-RU"/>
        </w:rPr>
        <w:t>20</w:t>
      </w:r>
      <w:r>
        <w:rPr>
          <w:rFonts w:hint="eastAsia"/>
          <w:sz w:val="28"/>
          <w:szCs w:val="28"/>
          <w:lang w:val="en-US" w:eastAsia="zh-CN"/>
        </w:rPr>
        <w:t>21</w:t>
      </w:r>
      <w:r>
        <w:rPr>
          <w:sz w:val="28"/>
          <w:szCs w:val="28"/>
          <w:lang w:val="ru-RU"/>
        </w:rPr>
        <w:t>-20</w:t>
      </w:r>
      <w:r>
        <w:rPr>
          <w:rFonts w:hint="eastAsia"/>
          <w:sz w:val="28"/>
          <w:szCs w:val="28"/>
          <w:lang w:val="en-US" w:eastAsia="zh-CN"/>
        </w:rPr>
        <w:t>23</w:t>
      </w:r>
      <w:r>
        <w:rPr>
          <w:rFonts w:hint="eastAsia"/>
          <w:sz w:val="28"/>
          <w:szCs w:val="28"/>
          <w:lang w:val="ru-RU"/>
        </w:rPr>
        <w:t>届毕业生</w:t>
      </w:r>
      <w:r>
        <w:rPr>
          <w:rFonts w:hint="eastAsia"/>
          <w:sz w:val="28"/>
          <w:szCs w:val="28"/>
          <w:lang w:val="en-US" w:eastAsia="zh-CN"/>
        </w:rPr>
        <w:t>毕业去向落实</w:t>
      </w:r>
      <w:r>
        <w:rPr>
          <w:rFonts w:hint="eastAsia"/>
          <w:sz w:val="28"/>
          <w:szCs w:val="28"/>
          <w:lang w:val="ru-RU"/>
        </w:rPr>
        <w:t>率变化趋势</w:t>
      </w:r>
    </w:p>
    <w:p>
      <w:pPr>
        <w:ind w:firstLine="560" w:firstLineChars="200"/>
        <w:jc w:val="left"/>
        <w:rPr>
          <w:rFonts w:hint="eastAsia"/>
          <w:sz w:val="28"/>
          <w:szCs w:val="28"/>
          <w:lang w:val="ru-RU"/>
        </w:rPr>
      </w:pPr>
      <w:r>
        <w:rPr>
          <w:sz w:val="28"/>
          <w:szCs w:val="28"/>
          <w:highlight w:val="none"/>
          <w:lang w:val="ru-RU"/>
        </w:rPr>
        <w:t>20</w:t>
      </w:r>
      <w:r>
        <w:rPr>
          <w:rFonts w:hint="eastAsia"/>
          <w:sz w:val="28"/>
          <w:szCs w:val="28"/>
          <w:highlight w:val="none"/>
          <w:lang w:val="en-US" w:eastAsia="zh-CN"/>
        </w:rPr>
        <w:t>21</w:t>
      </w:r>
      <w:r>
        <w:rPr>
          <w:rFonts w:hint="eastAsia"/>
          <w:sz w:val="28"/>
          <w:szCs w:val="28"/>
          <w:highlight w:val="none"/>
          <w:lang w:val="ru-RU"/>
        </w:rPr>
        <w:t>届毕业生</w:t>
      </w:r>
      <w:r>
        <w:rPr>
          <w:rFonts w:hint="eastAsia"/>
          <w:sz w:val="28"/>
          <w:szCs w:val="28"/>
          <w:lang w:val="en-US" w:eastAsia="zh-CN"/>
        </w:rPr>
        <w:t>毕业去向落实</w:t>
      </w:r>
      <w:r>
        <w:rPr>
          <w:rFonts w:hint="eastAsia"/>
          <w:sz w:val="28"/>
          <w:szCs w:val="28"/>
          <w:lang w:val="ru-RU"/>
        </w:rPr>
        <w:t>率</w:t>
      </w:r>
      <w:r>
        <w:rPr>
          <w:rFonts w:hint="eastAsia"/>
          <w:sz w:val="28"/>
          <w:szCs w:val="28"/>
          <w:highlight w:val="none"/>
          <w:lang w:val="ru-RU"/>
        </w:rPr>
        <w:t>为</w:t>
      </w:r>
      <w:r>
        <w:rPr>
          <w:rFonts w:hint="eastAsia"/>
          <w:sz w:val="28"/>
          <w:szCs w:val="28"/>
          <w:highlight w:val="none"/>
          <w:lang w:val="en-US" w:eastAsia="zh-CN"/>
        </w:rPr>
        <w:t>94.30</w:t>
      </w:r>
      <w:r>
        <w:rPr>
          <w:sz w:val="28"/>
          <w:szCs w:val="28"/>
          <w:highlight w:val="none"/>
          <w:lang w:val="ru-RU"/>
        </w:rPr>
        <w:t>%</w:t>
      </w:r>
      <w:r>
        <w:rPr>
          <w:rFonts w:hint="eastAsia"/>
          <w:sz w:val="28"/>
          <w:szCs w:val="28"/>
          <w:highlight w:val="none"/>
          <w:lang w:val="ru-RU" w:eastAsia="zh-CN"/>
        </w:rPr>
        <w:t>，</w:t>
      </w:r>
      <w:r>
        <w:rPr>
          <w:sz w:val="28"/>
          <w:szCs w:val="28"/>
          <w:highlight w:val="none"/>
          <w:lang w:val="ru-RU"/>
        </w:rPr>
        <w:t>20</w:t>
      </w:r>
      <w:r>
        <w:rPr>
          <w:rFonts w:hint="eastAsia"/>
          <w:sz w:val="28"/>
          <w:szCs w:val="28"/>
          <w:highlight w:val="none"/>
          <w:lang w:val="en-US" w:eastAsia="zh-CN"/>
        </w:rPr>
        <w:t>22</w:t>
      </w:r>
      <w:r>
        <w:rPr>
          <w:rFonts w:hint="eastAsia"/>
          <w:sz w:val="28"/>
          <w:szCs w:val="28"/>
          <w:highlight w:val="none"/>
          <w:lang w:val="ru-RU"/>
        </w:rPr>
        <w:t>届毕业生</w:t>
      </w:r>
      <w:r>
        <w:rPr>
          <w:rFonts w:hint="eastAsia"/>
          <w:sz w:val="28"/>
          <w:szCs w:val="28"/>
          <w:lang w:val="en-US" w:eastAsia="zh-CN"/>
        </w:rPr>
        <w:t>毕业去向落实</w:t>
      </w:r>
      <w:r>
        <w:rPr>
          <w:rFonts w:hint="eastAsia"/>
          <w:sz w:val="28"/>
          <w:szCs w:val="28"/>
          <w:lang w:val="ru-RU"/>
        </w:rPr>
        <w:t>率</w:t>
      </w:r>
      <w:r>
        <w:rPr>
          <w:rFonts w:hint="eastAsia"/>
          <w:sz w:val="28"/>
          <w:szCs w:val="28"/>
          <w:highlight w:val="none"/>
          <w:lang w:val="ru-RU"/>
        </w:rPr>
        <w:t>为</w:t>
      </w:r>
      <w:r>
        <w:rPr>
          <w:rFonts w:hint="eastAsia"/>
          <w:sz w:val="28"/>
          <w:szCs w:val="28"/>
          <w:highlight w:val="none"/>
          <w:lang w:val="en-US" w:eastAsia="zh-CN"/>
        </w:rPr>
        <w:t>95.57</w:t>
      </w:r>
      <w:r>
        <w:rPr>
          <w:sz w:val="28"/>
          <w:szCs w:val="28"/>
          <w:highlight w:val="none"/>
          <w:lang w:val="ru-RU"/>
        </w:rPr>
        <w:t>%</w:t>
      </w:r>
      <w:r>
        <w:rPr>
          <w:rFonts w:hint="eastAsia"/>
          <w:sz w:val="28"/>
          <w:szCs w:val="28"/>
          <w:highlight w:val="none"/>
          <w:lang w:val="ru-RU" w:eastAsia="zh-CN"/>
        </w:rPr>
        <w:t>，</w:t>
      </w:r>
      <w:r>
        <w:rPr>
          <w:sz w:val="28"/>
          <w:szCs w:val="28"/>
          <w:highlight w:val="none"/>
          <w:lang w:val="ru-RU"/>
        </w:rPr>
        <w:t>20</w:t>
      </w:r>
      <w:r>
        <w:rPr>
          <w:rFonts w:hint="eastAsia"/>
          <w:sz w:val="28"/>
          <w:szCs w:val="28"/>
          <w:highlight w:val="none"/>
          <w:lang w:val="en-US" w:eastAsia="zh-CN"/>
        </w:rPr>
        <w:t>23</w:t>
      </w:r>
      <w:r>
        <w:rPr>
          <w:rFonts w:hint="eastAsia"/>
          <w:sz w:val="28"/>
          <w:szCs w:val="28"/>
          <w:highlight w:val="none"/>
          <w:lang w:val="ru-RU"/>
        </w:rPr>
        <w:t>届毕业生</w:t>
      </w:r>
      <w:r>
        <w:rPr>
          <w:rFonts w:hint="eastAsia"/>
          <w:sz w:val="28"/>
          <w:szCs w:val="28"/>
          <w:lang w:val="en-US" w:eastAsia="zh-CN"/>
        </w:rPr>
        <w:t>毕业去向落实</w:t>
      </w:r>
      <w:r>
        <w:rPr>
          <w:rFonts w:hint="eastAsia"/>
          <w:sz w:val="28"/>
          <w:szCs w:val="28"/>
          <w:lang w:val="ru-RU"/>
        </w:rPr>
        <w:t>率</w:t>
      </w:r>
      <w:r>
        <w:rPr>
          <w:rFonts w:hint="eastAsia"/>
          <w:sz w:val="28"/>
          <w:szCs w:val="28"/>
          <w:highlight w:val="none"/>
          <w:lang w:val="ru-RU"/>
        </w:rPr>
        <w:t>为</w:t>
      </w:r>
      <w:r>
        <w:rPr>
          <w:rFonts w:hint="eastAsia"/>
          <w:sz w:val="28"/>
          <w:szCs w:val="28"/>
          <w:highlight w:val="none"/>
          <w:lang w:val="en-US" w:eastAsia="zh-CN"/>
        </w:rPr>
        <w:t>95.60</w:t>
      </w:r>
      <w:r>
        <w:rPr>
          <w:sz w:val="28"/>
          <w:szCs w:val="28"/>
          <w:highlight w:val="none"/>
          <w:lang w:val="ru-RU"/>
        </w:rPr>
        <w:t>%</w:t>
      </w:r>
      <w:r>
        <w:rPr>
          <w:rFonts w:hint="eastAsia"/>
          <w:sz w:val="28"/>
          <w:szCs w:val="28"/>
          <w:highlight w:val="none"/>
          <w:lang w:val="ru-RU"/>
        </w:rPr>
        <w:t>，</w:t>
      </w:r>
      <w:r>
        <w:rPr>
          <w:rFonts w:hint="eastAsia"/>
          <w:sz w:val="28"/>
          <w:szCs w:val="28"/>
          <w:highlight w:val="none"/>
          <w:lang w:val="en-US" w:eastAsia="zh-CN"/>
        </w:rPr>
        <w:t>数据表明</w:t>
      </w:r>
      <w:r>
        <w:rPr>
          <w:rFonts w:hint="eastAsia"/>
          <w:sz w:val="28"/>
          <w:szCs w:val="28"/>
          <w:lang w:val="ru-RU"/>
        </w:rPr>
        <w:t>连续三年</w:t>
      </w:r>
      <w:r>
        <w:rPr>
          <w:rFonts w:hint="eastAsia"/>
          <w:sz w:val="28"/>
          <w:szCs w:val="28"/>
          <w:lang w:val="en-US" w:eastAsia="zh-CN"/>
        </w:rPr>
        <w:t>毕业去向落实</w:t>
      </w:r>
      <w:r>
        <w:rPr>
          <w:rFonts w:hint="eastAsia"/>
          <w:sz w:val="28"/>
          <w:szCs w:val="28"/>
          <w:lang w:val="ru-RU"/>
        </w:rPr>
        <w:t>率较高</w:t>
      </w:r>
      <w:r>
        <w:rPr>
          <w:rFonts w:hint="eastAsia"/>
          <w:sz w:val="28"/>
          <w:szCs w:val="28"/>
          <w:lang w:val="ru-RU" w:eastAsia="zh-CN"/>
        </w:rPr>
        <w:t>，</w:t>
      </w:r>
      <w:r>
        <w:rPr>
          <w:rFonts w:hint="eastAsia"/>
          <w:sz w:val="28"/>
          <w:szCs w:val="28"/>
          <w:lang w:val="en-US" w:eastAsia="zh-CN"/>
        </w:rPr>
        <w:t>且逐年增加</w:t>
      </w:r>
      <w:r>
        <w:rPr>
          <w:rFonts w:hint="eastAsia"/>
          <w:sz w:val="28"/>
          <w:szCs w:val="28"/>
          <w:lang w:val="ru-RU"/>
        </w:rPr>
        <w:t>。详见下图。</w:t>
      </w:r>
    </w:p>
    <w:p>
      <w:pPr>
        <w:jc w:val="left"/>
        <w:rPr>
          <w:sz w:val="28"/>
          <w:szCs w:val="28"/>
          <w:lang w:val="ru-RU"/>
        </w:rPr>
      </w:pPr>
      <w:r>
        <w:rPr>
          <w:rFonts w:hint="eastAsia"/>
          <w:sz w:val="28"/>
          <w:szCs w:val="28"/>
          <w:lang w:val="en-US" w:eastAsia="zh-CN"/>
        </w:rPr>
        <w:t xml:space="preserve">    </w:t>
      </w:r>
      <w:r>
        <w:rPr>
          <w:sz w:val="28"/>
          <w:szCs w:val="28"/>
        </w:rPr>
        <w:drawing>
          <wp:inline distT="0" distB="0" distL="0" distR="0">
            <wp:extent cx="4722495" cy="2372360"/>
            <wp:effectExtent l="4445" t="4445" r="16510" b="23495"/>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pPr>
        <w:jc w:val="center"/>
        <w:rPr>
          <w:rFonts w:hint="eastAsia" w:asciiTheme="minorEastAsia" w:hAnsiTheme="minorEastAsia" w:eastAsiaTheme="minorEastAsia"/>
          <w:sz w:val="20"/>
          <w:szCs w:val="20"/>
          <w:lang w:val="ru-RU"/>
        </w:rPr>
      </w:pPr>
      <w:r>
        <w:rPr>
          <w:rFonts w:hint="eastAsia" w:asciiTheme="minorEastAsia" w:hAnsiTheme="minorEastAsia" w:eastAsiaTheme="minorEastAsia"/>
          <w:sz w:val="20"/>
          <w:szCs w:val="20"/>
          <w:lang w:val="ru-RU"/>
        </w:rPr>
        <w:t>图</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10</w:t>
      </w:r>
      <w:r>
        <w:rPr>
          <w:rFonts w:asciiTheme="minorEastAsia" w:hAnsiTheme="minorEastAsia" w:eastAsiaTheme="minorEastAsia"/>
          <w:sz w:val="20"/>
          <w:szCs w:val="20"/>
          <w:lang w:val="ru-RU"/>
        </w:rPr>
        <w:t>-1 20</w:t>
      </w:r>
      <w:r>
        <w:rPr>
          <w:rFonts w:hint="eastAsia" w:asciiTheme="minorEastAsia" w:hAnsiTheme="minorEastAsia" w:eastAsiaTheme="minorEastAsia"/>
          <w:sz w:val="20"/>
          <w:szCs w:val="20"/>
          <w:lang w:val="en-US" w:eastAsia="zh-CN"/>
        </w:rPr>
        <w:t>21</w:t>
      </w:r>
      <w:r>
        <w:rPr>
          <w:rFonts w:asciiTheme="minorEastAsia" w:hAnsiTheme="minorEastAsia" w:eastAsiaTheme="minorEastAsia"/>
          <w:sz w:val="20"/>
          <w:szCs w:val="20"/>
          <w:lang w:val="ru-RU"/>
        </w:rPr>
        <w:t>-20</w:t>
      </w:r>
      <w:r>
        <w:rPr>
          <w:rFonts w:hint="eastAsia" w:asciiTheme="minorEastAsia" w:hAnsiTheme="minorEastAsia" w:eastAsiaTheme="minorEastAsia"/>
          <w:sz w:val="20"/>
          <w:szCs w:val="20"/>
          <w:lang w:val="en-US" w:eastAsia="zh-CN"/>
        </w:rPr>
        <w:t>23</w:t>
      </w:r>
      <w:r>
        <w:rPr>
          <w:rFonts w:hint="eastAsia" w:asciiTheme="minorEastAsia" w:hAnsiTheme="minorEastAsia" w:eastAsiaTheme="minorEastAsia"/>
          <w:sz w:val="20"/>
          <w:szCs w:val="20"/>
          <w:lang w:val="ru-RU"/>
        </w:rPr>
        <w:t>届毕业生</w:t>
      </w:r>
      <w:r>
        <w:rPr>
          <w:rFonts w:hint="eastAsia" w:asciiTheme="minorEastAsia" w:hAnsiTheme="minorEastAsia" w:eastAsiaTheme="minorEastAsia"/>
          <w:sz w:val="20"/>
          <w:szCs w:val="20"/>
          <w:lang w:val="en-US" w:eastAsia="zh-CN"/>
        </w:rPr>
        <w:t>毕业去向落实</w:t>
      </w:r>
      <w:r>
        <w:rPr>
          <w:rFonts w:hint="eastAsia" w:asciiTheme="minorEastAsia" w:hAnsiTheme="minorEastAsia" w:eastAsiaTheme="minorEastAsia"/>
          <w:sz w:val="20"/>
          <w:szCs w:val="20"/>
          <w:lang w:val="ru-RU"/>
        </w:rPr>
        <w:t>率</w:t>
      </w:r>
    </w:p>
    <w:p>
      <w:pPr>
        <w:jc w:val="center"/>
        <w:rPr>
          <w:rFonts w:hint="eastAsia" w:asciiTheme="minorEastAsia" w:hAnsiTheme="minorEastAsia" w:eastAsiaTheme="minorEastAsia"/>
          <w:sz w:val="20"/>
          <w:szCs w:val="20"/>
          <w:lang w:val="ru-RU"/>
        </w:rPr>
      </w:pPr>
    </w:p>
    <w:p>
      <w:pPr>
        <w:jc w:val="left"/>
        <w:rPr>
          <w:sz w:val="28"/>
          <w:szCs w:val="28"/>
          <w:highlight w:val="none"/>
          <w:lang w:val="ru-RU"/>
        </w:rPr>
      </w:pPr>
      <w:r>
        <w:rPr>
          <w:rFonts w:hint="eastAsia"/>
          <w:sz w:val="28"/>
          <w:szCs w:val="28"/>
          <w:highlight w:val="none"/>
          <w:lang w:val="en-US" w:eastAsia="zh-CN"/>
        </w:rPr>
        <w:t>二、</w:t>
      </w:r>
      <w:r>
        <w:rPr>
          <w:rFonts w:hint="eastAsia"/>
          <w:sz w:val="28"/>
          <w:szCs w:val="28"/>
          <w:highlight w:val="none"/>
          <w:lang w:val="ru-RU"/>
        </w:rPr>
        <w:t>20</w:t>
      </w:r>
      <w:r>
        <w:rPr>
          <w:rFonts w:hint="eastAsia"/>
          <w:sz w:val="28"/>
          <w:szCs w:val="28"/>
          <w:highlight w:val="none"/>
          <w:lang w:val="en-US" w:eastAsia="zh-CN"/>
        </w:rPr>
        <w:t>21</w:t>
      </w:r>
      <w:r>
        <w:rPr>
          <w:rFonts w:hint="eastAsia"/>
          <w:sz w:val="28"/>
          <w:szCs w:val="28"/>
          <w:highlight w:val="none"/>
          <w:lang w:val="ru-RU"/>
        </w:rPr>
        <w:t>-20</w:t>
      </w:r>
      <w:r>
        <w:rPr>
          <w:rFonts w:hint="eastAsia"/>
          <w:sz w:val="28"/>
          <w:szCs w:val="28"/>
          <w:highlight w:val="none"/>
          <w:lang w:val="en-US" w:eastAsia="zh-CN"/>
        </w:rPr>
        <w:t>23</w:t>
      </w:r>
      <w:r>
        <w:rPr>
          <w:rFonts w:hint="eastAsia"/>
          <w:sz w:val="28"/>
          <w:szCs w:val="28"/>
          <w:highlight w:val="none"/>
          <w:lang w:val="ru-RU"/>
        </w:rPr>
        <w:t>届毕业生升学</w:t>
      </w:r>
      <w:r>
        <w:rPr>
          <w:rFonts w:hint="eastAsia"/>
          <w:sz w:val="28"/>
          <w:szCs w:val="28"/>
          <w:highlight w:val="none"/>
          <w:lang w:val="en-US" w:eastAsia="zh-CN"/>
        </w:rPr>
        <w:t>人数</w:t>
      </w:r>
      <w:r>
        <w:rPr>
          <w:rFonts w:hint="eastAsia"/>
          <w:sz w:val="28"/>
          <w:szCs w:val="28"/>
          <w:highlight w:val="none"/>
          <w:lang w:val="ru-RU"/>
        </w:rPr>
        <w:t>变化趋势</w:t>
      </w:r>
    </w:p>
    <w:p>
      <w:pPr>
        <w:ind w:firstLine="560" w:firstLineChars="200"/>
        <w:jc w:val="left"/>
        <w:rPr>
          <w:rFonts w:hint="eastAsia"/>
          <w:sz w:val="28"/>
          <w:szCs w:val="28"/>
          <w:highlight w:val="none"/>
          <w:lang w:val="ru-RU"/>
        </w:rPr>
      </w:pPr>
      <w:r>
        <w:rPr>
          <w:sz w:val="28"/>
          <w:szCs w:val="28"/>
          <w:highlight w:val="none"/>
          <w:lang w:val="ru-RU"/>
        </w:rPr>
        <w:t>20</w:t>
      </w:r>
      <w:r>
        <w:rPr>
          <w:rFonts w:hint="eastAsia"/>
          <w:sz w:val="28"/>
          <w:szCs w:val="28"/>
          <w:highlight w:val="none"/>
          <w:lang w:val="en-US" w:eastAsia="zh-CN"/>
        </w:rPr>
        <w:t>21</w:t>
      </w:r>
      <w:r>
        <w:rPr>
          <w:rFonts w:hint="eastAsia"/>
          <w:sz w:val="28"/>
          <w:szCs w:val="28"/>
          <w:highlight w:val="none"/>
          <w:lang w:val="ru-RU"/>
        </w:rPr>
        <w:t>届毕业生升学</w:t>
      </w:r>
      <w:r>
        <w:rPr>
          <w:rFonts w:hint="eastAsia"/>
          <w:sz w:val="28"/>
          <w:szCs w:val="28"/>
          <w:highlight w:val="none"/>
          <w:lang w:val="en-US" w:eastAsia="zh-CN"/>
        </w:rPr>
        <w:t>77人，</w:t>
      </w:r>
      <w:r>
        <w:rPr>
          <w:rFonts w:hint="eastAsia"/>
          <w:color w:val="auto"/>
          <w:sz w:val="28"/>
          <w:szCs w:val="28"/>
          <w:highlight w:val="none"/>
          <w:lang w:val="en-US" w:eastAsia="zh-CN"/>
        </w:rPr>
        <w:t>升学</w:t>
      </w:r>
      <w:r>
        <w:rPr>
          <w:rFonts w:hint="eastAsia"/>
          <w:color w:val="auto"/>
          <w:sz w:val="28"/>
          <w:szCs w:val="28"/>
          <w:highlight w:val="none"/>
          <w:lang w:val="ru-RU"/>
        </w:rPr>
        <w:t>率为</w:t>
      </w:r>
      <w:r>
        <w:rPr>
          <w:rFonts w:hint="eastAsia"/>
          <w:color w:val="auto"/>
          <w:sz w:val="28"/>
          <w:szCs w:val="28"/>
          <w:highlight w:val="none"/>
          <w:lang w:val="en-US" w:eastAsia="zh-CN"/>
        </w:rPr>
        <w:t>3.82</w:t>
      </w:r>
      <w:r>
        <w:rPr>
          <w:color w:val="auto"/>
          <w:sz w:val="28"/>
          <w:szCs w:val="28"/>
          <w:highlight w:val="none"/>
          <w:lang w:val="ru-RU"/>
        </w:rPr>
        <w:t>%</w:t>
      </w:r>
      <w:r>
        <w:rPr>
          <w:rFonts w:hint="eastAsia"/>
          <w:color w:val="auto"/>
          <w:sz w:val="28"/>
          <w:szCs w:val="28"/>
          <w:highlight w:val="none"/>
          <w:lang w:val="ru-RU" w:eastAsia="zh-CN"/>
        </w:rPr>
        <w:t>；</w:t>
      </w:r>
      <w:r>
        <w:rPr>
          <w:rFonts w:hint="eastAsia"/>
          <w:color w:val="auto"/>
          <w:sz w:val="28"/>
          <w:szCs w:val="28"/>
          <w:highlight w:val="none"/>
          <w:lang w:val="en-US" w:eastAsia="zh-CN"/>
        </w:rPr>
        <w:t>2022</w:t>
      </w:r>
      <w:r>
        <w:rPr>
          <w:rFonts w:hint="eastAsia"/>
          <w:color w:val="auto"/>
          <w:sz w:val="28"/>
          <w:szCs w:val="28"/>
          <w:highlight w:val="none"/>
          <w:lang w:val="ru-RU"/>
        </w:rPr>
        <w:t>届毕业生升学</w:t>
      </w:r>
      <w:r>
        <w:rPr>
          <w:rFonts w:hint="eastAsia"/>
          <w:color w:val="auto"/>
          <w:sz w:val="28"/>
          <w:szCs w:val="28"/>
          <w:highlight w:val="none"/>
          <w:lang w:val="en-US" w:eastAsia="zh-CN"/>
        </w:rPr>
        <w:t>87人，升学</w:t>
      </w:r>
      <w:r>
        <w:rPr>
          <w:rFonts w:hint="eastAsia"/>
          <w:color w:val="auto"/>
          <w:sz w:val="28"/>
          <w:szCs w:val="28"/>
          <w:highlight w:val="none"/>
          <w:lang w:val="ru-RU"/>
        </w:rPr>
        <w:t>率为</w:t>
      </w:r>
      <w:r>
        <w:rPr>
          <w:rFonts w:hint="eastAsia"/>
          <w:color w:val="auto"/>
          <w:sz w:val="28"/>
          <w:szCs w:val="28"/>
          <w:highlight w:val="none"/>
          <w:lang w:val="en-US" w:eastAsia="zh-CN"/>
        </w:rPr>
        <w:t>3.57</w:t>
      </w:r>
      <w:r>
        <w:rPr>
          <w:color w:val="auto"/>
          <w:sz w:val="28"/>
          <w:szCs w:val="28"/>
          <w:highlight w:val="none"/>
          <w:lang w:val="ru-RU"/>
        </w:rPr>
        <w:t>%</w:t>
      </w:r>
      <w:r>
        <w:rPr>
          <w:rFonts w:hint="eastAsia"/>
          <w:color w:val="auto"/>
          <w:sz w:val="28"/>
          <w:szCs w:val="28"/>
          <w:highlight w:val="none"/>
          <w:lang w:val="ru-RU" w:eastAsia="zh-CN"/>
        </w:rPr>
        <w:t>；</w:t>
      </w:r>
      <w:r>
        <w:rPr>
          <w:color w:val="auto"/>
          <w:sz w:val="28"/>
          <w:szCs w:val="28"/>
          <w:highlight w:val="none"/>
          <w:lang w:val="ru-RU"/>
        </w:rPr>
        <w:t>20</w:t>
      </w:r>
      <w:r>
        <w:rPr>
          <w:rFonts w:hint="eastAsia"/>
          <w:color w:val="auto"/>
          <w:sz w:val="28"/>
          <w:szCs w:val="28"/>
          <w:highlight w:val="none"/>
          <w:lang w:val="en-US" w:eastAsia="zh-CN"/>
        </w:rPr>
        <w:t>23</w:t>
      </w:r>
      <w:r>
        <w:rPr>
          <w:rFonts w:hint="eastAsia"/>
          <w:sz w:val="28"/>
          <w:szCs w:val="28"/>
          <w:highlight w:val="none"/>
          <w:lang w:val="ru-RU"/>
        </w:rPr>
        <w:t>届毕业生升学</w:t>
      </w:r>
      <w:r>
        <w:rPr>
          <w:rFonts w:hint="eastAsia"/>
          <w:sz w:val="28"/>
          <w:szCs w:val="28"/>
          <w:highlight w:val="none"/>
          <w:lang w:val="en-US" w:eastAsia="zh-CN"/>
        </w:rPr>
        <w:t>124人，</w:t>
      </w:r>
      <w:r>
        <w:rPr>
          <w:rFonts w:hint="eastAsia"/>
          <w:color w:val="auto"/>
          <w:sz w:val="28"/>
          <w:szCs w:val="28"/>
          <w:highlight w:val="none"/>
          <w:lang w:val="ru-RU"/>
        </w:rPr>
        <w:t>升学率为</w:t>
      </w:r>
      <w:r>
        <w:rPr>
          <w:rFonts w:hint="eastAsia"/>
          <w:color w:val="auto"/>
          <w:sz w:val="28"/>
          <w:szCs w:val="28"/>
          <w:highlight w:val="none"/>
          <w:lang w:val="ru-RU" w:eastAsia="zh-CN"/>
        </w:rPr>
        <w:t>3.</w:t>
      </w:r>
      <w:r>
        <w:rPr>
          <w:rFonts w:hint="eastAsia"/>
          <w:color w:val="auto"/>
          <w:sz w:val="28"/>
          <w:szCs w:val="28"/>
          <w:highlight w:val="none"/>
          <w:lang w:val="en-US" w:eastAsia="zh-CN"/>
        </w:rPr>
        <w:t>08</w:t>
      </w:r>
      <w:r>
        <w:rPr>
          <w:color w:val="auto"/>
          <w:sz w:val="28"/>
          <w:szCs w:val="28"/>
          <w:highlight w:val="none"/>
          <w:lang w:val="ru-RU"/>
        </w:rPr>
        <w:t>%</w:t>
      </w:r>
      <w:r>
        <w:rPr>
          <w:rFonts w:hint="eastAsia"/>
          <w:color w:val="auto"/>
          <w:sz w:val="28"/>
          <w:szCs w:val="28"/>
          <w:highlight w:val="none"/>
          <w:lang w:val="ru-RU" w:eastAsia="zh-CN"/>
        </w:rPr>
        <w:t>。</w:t>
      </w:r>
      <w:r>
        <w:rPr>
          <w:rFonts w:hint="eastAsia"/>
          <w:sz w:val="28"/>
          <w:szCs w:val="28"/>
          <w:highlight w:val="none"/>
          <w:lang w:val="ru-RU"/>
        </w:rPr>
        <w:t>详见下图。</w:t>
      </w:r>
    </w:p>
    <w:p>
      <w:pPr>
        <w:jc w:val="left"/>
        <w:rPr>
          <w:sz w:val="28"/>
          <w:szCs w:val="28"/>
          <w:lang w:val="ru-RU"/>
        </w:rPr>
      </w:pPr>
      <w:r>
        <w:rPr>
          <w:sz w:val="28"/>
          <w:szCs w:val="28"/>
        </w:rPr>
        <w:drawing>
          <wp:inline distT="0" distB="0" distL="0" distR="0">
            <wp:extent cx="5320030" cy="1872615"/>
            <wp:effectExtent l="4445" t="4445" r="9525" b="8890"/>
            <wp:docPr id="19"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pPr>
        <w:jc w:val="center"/>
        <w:rPr>
          <w:rFonts w:hint="eastAsia" w:asciiTheme="minorEastAsia" w:hAnsiTheme="minorEastAsia" w:eastAsiaTheme="minorEastAsia"/>
          <w:sz w:val="20"/>
          <w:szCs w:val="20"/>
          <w:lang w:val="ru-RU"/>
        </w:rPr>
      </w:pPr>
      <w:r>
        <w:rPr>
          <w:rFonts w:hint="eastAsia" w:asciiTheme="minorEastAsia" w:hAnsiTheme="minorEastAsia" w:eastAsiaTheme="minorEastAsia"/>
          <w:sz w:val="20"/>
          <w:szCs w:val="20"/>
          <w:lang w:val="ru-RU"/>
        </w:rPr>
        <w:t>图</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10</w:t>
      </w:r>
      <w:r>
        <w:rPr>
          <w:rFonts w:asciiTheme="minorEastAsia" w:hAnsiTheme="minorEastAsia" w:eastAsiaTheme="minorEastAsia"/>
          <w:sz w:val="20"/>
          <w:szCs w:val="20"/>
          <w:lang w:val="ru-RU"/>
        </w:rPr>
        <w:t>-</w:t>
      </w:r>
      <w:r>
        <w:rPr>
          <w:rFonts w:hint="eastAsia" w:asciiTheme="minorEastAsia" w:hAnsiTheme="minorEastAsia" w:eastAsiaTheme="minorEastAsia"/>
          <w:sz w:val="20"/>
          <w:szCs w:val="20"/>
          <w:lang w:val="ru-RU"/>
        </w:rPr>
        <w:t>2</w:t>
      </w:r>
      <w:r>
        <w:rPr>
          <w:rFonts w:asciiTheme="minorEastAsia" w:hAnsiTheme="minorEastAsia" w:eastAsiaTheme="minorEastAsia"/>
          <w:sz w:val="20"/>
          <w:szCs w:val="20"/>
          <w:lang w:val="ru-RU"/>
        </w:rPr>
        <w:t xml:space="preserve"> 20</w:t>
      </w:r>
      <w:r>
        <w:rPr>
          <w:rFonts w:hint="eastAsia" w:asciiTheme="minorEastAsia" w:hAnsiTheme="minorEastAsia" w:eastAsiaTheme="minorEastAsia"/>
          <w:sz w:val="20"/>
          <w:szCs w:val="20"/>
          <w:lang w:val="en-US" w:eastAsia="zh-CN"/>
        </w:rPr>
        <w:t>21</w:t>
      </w:r>
      <w:r>
        <w:rPr>
          <w:rFonts w:asciiTheme="minorEastAsia" w:hAnsiTheme="minorEastAsia" w:eastAsiaTheme="minorEastAsia"/>
          <w:sz w:val="20"/>
          <w:szCs w:val="20"/>
          <w:lang w:val="ru-RU"/>
        </w:rPr>
        <w:t>-20</w:t>
      </w:r>
      <w:r>
        <w:rPr>
          <w:rFonts w:hint="eastAsia" w:asciiTheme="minorEastAsia" w:hAnsiTheme="minorEastAsia" w:eastAsiaTheme="minorEastAsia"/>
          <w:sz w:val="20"/>
          <w:szCs w:val="20"/>
          <w:lang w:val="en-US" w:eastAsia="zh-CN"/>
        </w:rPr>
        <w:t>23</w:t>
      </w:r>
      <w:r>
        <w:rPr>
          <w:rFonts w:hint="eastAsia" w:asciiTheme="minorEastAsia" w:hAnsiTheme="minorEastAsia" w:eastAsiaTheme="minorEastAsia"/>
          <w:sz w:val="20"/>
          <w:szCs w:val="20"/>
          <w:lang w:val="ru-RU"/>
        </w:rPr>
        <w:t>届毕业生升学情况</w:t>
      </w:r>
    </w:p>
    <w:p>
      <w:pPr>
        <w:jc w:val="left"/>
        <w:rPr>
          <w:rFonts w:hint="eastAsia"/>
          <w:sz w:val="28"/>
          <w:szCs w:val="28"/>
          <w:highlight w:val="none"/>
          <w:lang w:val="ru-RU"/>
        </w:rPr>
      </w:pPr>
      <w:r>
        <w:rPr>
          <w:rFonts w:hint="eastAsia"/>
          <w:sz w:val="28"/>
          <w:szCs w:val="28"/>
          <w:highlight w:val="none"/>
          <w:lang w:val="en-US" w:eastAsia="zh-CN"/>
        </w:rPr>
        <w:t>三、</w:t>
      </w:r>
      <w:r>
        <w:rPr>
          <w:sz w:val="28"/>
          <w:szCs w:val="28"/>
          <w:highlight w:val="none"/>
          <w:lang w:val="ru-RU"/>
        </w:rPr>
        <w:t>20</w:t>
      </w:r>
      <w:r>
        <w:rPr>
          <w:rFonts w:hint="eastAsia"/>
          <w:sz w:val="28"/>
          <w:szCs w:val="28"/>
          <w:highlight w:val="none"/>
          <w:lang w:val="en-US" w:eastAsia="zh-CN"/>
        </w:rPr>
        <w:t>21</w:t>
      </w:r>
      <w:r>
        <w:rPr>
          <w:sz w:val="28"/>
          <w:szCs w:val="28"/>
          <w:highlight w:val="none"/>
          <w:lang w:val="ru-RU"/>
        </w:rPr>
        <w:t>-20</w:t>
      </w:r>
      <w:r>
        <w:rPr>
          <w:rFonts w:hint="eastAsia"/>
          <w:sz w:val="28"/>
          <w:szCs w:val="28"/>
          <w:highlight w:val="none"/>
          <w:lang w:val="en-US" w:eastAsia="zh-CN"/>
        </w:rPr>
        <w:t>23</w:t>
      </w:r>
      <w:r>
        <w:rPr>
          <w:rFonts w:hint="eastAsia"/>
          <w:sz w:val="28"/>
          <w:szCs w:val="28"/>
          <w:highlight w:val="none"/>
          <w:lang w:val="ru-RU"/>
        </w:rPr>
        <w:t>届毕业生</w:t>
      </w:r>
      <w:r>
        <w:rPr>
          <w:rFonts w:hint="eastAsia"/>
          <w:sz w:val="28"/>
          <w:szCs w:val="28"/>
          <w:highlight w:val="none"/>
          <w:lang w:val="en-US" w:eastAsia="zh-CN"/>
        </w:rPr>
        <w:t>自主创业人数</w:t>
      </w:r>
      <w:r>
        <w:rPr>
          <w:rFonts w:hint="eastAsia"/>
          <w:sz w:val="28"/>
          <w:szCs w:val="28"/>
          <w:highlight w:val="none"/>
          <w:lang w:val="ru-RU"/>
        </w:rPr>
        <w:t>变化趋势</w:t>
      </w:r>
    </w:p>
    <w:p>
      <w:pPr>
        <w:ind w:firstLine="560" w:firstLineChars="200"/>
        <w:jc w:val="left"/>
        <w:rPr>
          <w:sz w:val="28"/>
          <w:szCs w:val="28"/>
          <w:highlight w:val="none"/>
          <w:lang w:val="ru-RU"/>
        </w:rPr>
      </w:pPr>
      <w:r>
        <w:rPr>
          <w:sz w:val="28"/>
          <w:szCs w:val="28"/>
          <w:highlight w:val="none"/>
          <w:lang w:val="ru-RU"/>
        </w:rPr>
        <w:t>20</w:t>
      </w:r>
      <w:r>
        <w:rPr>
          <w:rFonts w:hint="eastAsia"/>
          <w:sz w:val="28"/>
          <w:szCs w:val="28"/>
          <w:highlight w:val="none"/>
          <w:lang w:val="en-US" w:eastAsia="zh-CN"/>
        </w:rPr>
        <w:t>21</w:t>
      </w:r>
      <w:r>
        <w:rPr>
          <w:rFonts w:hint="eastAsia"/>
          <w:sz w:val="28"/>
          <w:szCs w:val="28"/>
          <w:highlight w:val="none"/>
          <w:lang w:val="ru-RU"/>
        </w:rPr>
        <w:t>届毕业生</w:t>
      </w:r>
      <w:r>
        <w:rPr>
          <w:rFonts w:hint="eastAsia"/>
          <w:sz w:val="28"/>
          <w:szCs w:val="28"/>
          <w:highlight w:val="none"/>
          <w:lang w:val="en-US" w:eastAsia="zh-CN"/>
        </w:rPr>
        <w:t>自主创业8人，比例</w:t>
      </w:r>
      <w:r>
        <w:rPr>
          <w:rFonts w:hint="eastAsia"/>
          <w:sz w:val="28"/>
          <w:szCs w:val="28"/>
          <w:highlight w:val="none"/>
          <w:lang w:val="ru-RU"/>
        </w:rPr>
        <w:t>为</w:t>
      </w:r>
      <w:r>
        <w:rPr>
          <w:rFonts w:hint="eastAsia"/>
          <w:sz w:val="28"/>
          <w:szCs w:val="28"/>
          <w:highlight w:val="none"/>
          <w:lang w:val="en-US" w:eastAsia="zh-CN"/>
        </w:rPr>
        <w:t xml:space="preserve">0.40 </w:t>
      </w:r>
      <w:r>
        <w:rPr>
          <w:sz w:val="28"/>
          <w:szCs w:val="28"/>
          <w:highlight w:val="none"/>
          <w:lang w:val="ru-RU"/>
        </w:rPr>
        <w:t>%</w:t>
      </w:r>
      <w:r>
        <w:rPr>
          <w:rFonts w:hint="eastAsia"/>
          <w:sz w:val="28"/>
          <w:szCs w:val="28"/>
          <w:highlight w:val="none"/>
          <w:lang w:val="ru-RU" w:eastAsia="zh-CN"/>
        </w:rPr>
        <w:t>；</w:t>
      </w:r>
      <w:r>
        <w:rPr>
          <w:sz w:val="28"/>
          <w:szCs w:val="28"/>
          <w:highlight w:val="none"/>
          <w:lang w:val="ru-RU"/>
        </w:rPr>
        <w:t>20</w:t>
      </w:r>
      <w:r>
        <w:rPr>
          <w:rFonts w:hint="eastAsia"/>
          <w:sz w:val="28"/>
          <w:szCs w:val="28"/>
          <w:highlight w:val="none"/>
          <w:lang w:val="en-US" w:eastAsia="zh-CN"/>
        </w:rPr>
        <w:t>22</w:t>
      </w:r>
      <w:r>
        <w:rPr>
          <w:rFonts w:hint="eastAsia"/>
          <w:sz w:val="28"/>
          <w:szCs w:val="28"/>
          <w:highlight w:val="none"/>
          <w:lang w:val="ru-RU"/>
        </w:rPr>
        <w:t>届毕业生</w:t>
      </w:r>
      <w:r>
        <w:rPr>
          <w:rFonts w:hint="eastAsia"/>
          <w:sz w:val="28"/>
          <w:szCs w:val="28"/>
          <w:highlight w:val="none"/>
          <w:lang w:val="en-US" w:eastAsia="zh-CN"/>
        </w:rPr>
        <w:t>自主创业12人，比例</w:t>
      </w:r>
      <w:r>
        <w:rPr>
          <w:rFonts w:hint="eastAsia"/>
          <w:sz w:val="28"/>
          <w:szCs w:val="28"/>
          <w:highlight w:val="none"/>
          <w:lang w:val="ru-RU"/>
        </w:rPr>
        <w:t>为</w:t>
      </w:r>
      <w:r>
        <w:rPr>
          <w:rFonts w:hint="eastAsia"/>
          <w:sz w:val="28"/>
          <w:szCs w:val="28"/>
          <w:highlight w:val="none"/>
          <w:lang w:val="en-US" w:eastAsia="zh-CN"/>
        </w:rPr>
        <w:t>0.49</w:t>
      </w:r>
      <w:r>
        <w:rPr>
          <w:sz w:val="28"/>
          <w:szCs w:val="28"/>
          <w:highlight w:val="none"/>
          <w:lang w:val="ru-RU"/>
        </w:rPr>
        <w:t>%</w:t>
      </w:r>
      <w:r>
        <w:rPr>
          <w:rFonts w:hint="eastAsia"/>
          <w:sz w:val="28"/>
          <w:szCs w:val="28"/>
          <w:highlight w:val="none"/>
          <w:lang w:val="ru-RU" w:eastAsia="zh-CN"/>
        </w:rPr>
        <w:t>；</w:t>
      </w:r>
      <w:r>
        <w:rPr>
          <w:sz w:val="28"/>
          <w:szCs w:val="28"/>
          <w:highlight w:val="none"/>
          <w:lang w:val="ru-RU"/>
        </w:rPr>
        <w:t>20</w:t>
      </w:r>
      <w:r>
        <w:rPr>
          <w:rFonts w:hint="eastAsia"/>
          <w:sz w:val="28"/>
          <w:szCs w:val="28"/>
          <w:highlight w:val="none"/>
          <w:lang w:val="en-US" w:eastAsia="zh-CN"/>
        </w:rPr>
        <w:t>23</w:t>
      </w:r>
      <w:r>
        <w:rPr>
          <w:rFonts w:hint="eastAsia"/>
          <w:sz w:val="28"/>
          <w:szCs w:val="28"/>
          <w:highlight w:val="none"/>
          <w:lang w:val="ru-RU"/>
        </w:rPr>
        <w:t>届毕业生</w:t>
      </w:r>
      <w:r>
        <w:rPr>
          <w:rFonts w:hint="eastAsia"/>
          <w:sz w:val="28"/>
          <w:szCs w:val="28"/>
          <w:highlight w:val="none"/>
          <w:lang w:val="en-US" w:eastAsia="zh-CN"/>
        </w:rPr>
        <w:t>自主创业68人，比例</w:t>
      </w:r>
      <w:r>
        <w:rPr>
          <w:rFonts w:hint="eastAsia"/>
          <w:sz w:val="28"/>
          <w:szCs w:val="28"/>
          <w:highlight w:val="none"/>
          <w:lang w:val="ru-RU"/>
        </w:rPr>
        <w:t>为</w:t>
      </w:r>
      <w:r>
        <w:rPr>
          <w:rFonts w:hint="eastAsia"/>
          <w:sz w:val="28"/>
          <w:szCs w:val="28"/>
          <w:highlight w:val="none"/>
          <w:lang w:val="en-US" w:eastAsia="zh-CN"/>
        </w:rPr>
        <w:t>1.77</w:t>
      </w:r>
      <w:r>
        <w:rPr>
          <w:sz w:val="28"/>
          <w:szCs w:val="28"/>
          <w:highlight w:val="none"/>
          <w:lang w:val="ru-RU"/>
        </w:rPr>
        <w:t>%</w:t>
      </w:r>
      <w:r>
        <w:rPr>
          <w:rFonts w:hint="eastAsia"/>
          <w:sz w:val="28"/>
          <w:szCs w:val="28"/>
          <w:highlight w:val="none"/>
          <w:lang w:val="ru-RU"/>
        </w:rPr>
        <w:t>，</w:t>
      </w:r>
      <w:r>
        <w:rPr>
          <w:rFonts w:hint="eastAsia"/>
          <w:sz w:val="28"/>
          <w:szCs w:val="28"/>
          <w:highlight w:val="none"/>
          <w:lang w:val="en-US" w:eastAsia="zh-CN"/>
        </w:rPr>
        <w:t>根据</w:t>
      </w:r>
      <w:r>
        <w:rPr>
          <w:sz w:val="28"/>
          <w:szCs w:val="28"/>
          <w:highlight w:val="none"/>
          <w:lang w:val="ru-RU"/>
        </w:rPr>
        <w:t>20</w:t>
      </w:r>
      <w:r>
        <w:rPr>
          <w:rFonts w:hint="eastAsia"/>
          <w:sz w:val="28"/>
          <w:szCs w:val="28"/>
          <w:highlight w:val="none"/>
          <w:lang w:val="en-US" w:eastAsia="zh-CN"/>
        </w:rPr>
        <w:t>21</w:t>
      </w:r>
      <w:r>
        <w:rPr>
          <w:sz w:val="28"/>
          <w:szCs w:val="28"/>
          <w:highlight w:val="none"/>
          <w:lang w:val="ru-RU"/>
        </w:rPr>
        <w:t>-20</w:t>
      </w:r>
      <w:r>
        <w:rPr>
          <w:rFonts w:hint="eastAsia"/>
          <w:sz w:val="28"/>
          <w:szCs w:val="28"/>
          <w:highlight w:val="none"/>
          <w:lang w:val="en-US" w:eastAsia="zh-CN"/>
        </w:rPr>
        <w:t>23</w:t>
      </w:r>
      <w:r>
        <w:rPr>
          <w:rFonts w:hint="eastAsia"/>
          <w:sz w:val="28"/>
          <w:szCs w:val="28"/>
          <w:highlight w:val="none"/>
          <w:lang w:val="ru-RU"/>
        </w:rPr>
        <w:t>届毕业生</w:t>
      </w:r>
      <w:r>
        <w:rPr>
          <w:rFonts w:hint="eastAsia"/>
          <w:sz w:val="28"/>
          <w:szCs w:val="28"/>
          <w:highlight w:val="none"/>
          <w:lang w:val="en-US" w:eastAsia="zh-CN"/>
        </w:rPr>
        <w:t>自主创业人数</w:t>
      </w:r>
      <w:r>
        <w:rPr>
          <w:rFonts w:hint="eastAsia"/>
          <w:sz w:val="28"/>
          <w:szCs w:val="28"/>
          <w:highlight w:val="none"/>
          <w:lang w:val="ru-RU"/>
        </w:rPr>
        <w:t>变化趋势</w:t>
      </w:r>
      <w:r>
        <w:rPr>
          <w:rFonts w:hint="eastAsia"/>
          <w:sz w:val="28"/>
          <w:szCs w:val="28"/>
          <w:highlight w:val="none"/>
          <w:lang w:val="en-US" w:eastAsia="zh-CN"/>
        </w:rPr>
        <w:t>可知，毕业生自主创业人数</w:t>
      </w:r>
      <w:r>
        <w:rPr>
          <w:rFonts w:hint="eastAsia"/>
          <w:sz w:val="28"/>
          <w:szCs w:val="28"/>
          <w:lang w:val="en-US" w:eastAsia="zh-CN"/>
        </w:rPr>
        <w:t>逐年增加，且2023届毕业生自主创业人数增长幅度较大</w:t>
      </w:r>
      <w:r>
        <w:rPr>
          <w:rFonts w:hint="eastAsia"/>
          <w:sz w:val="28"/>
          <w:szCs w:val="28"/>
          <w:highlight w:val="none"/>
          <w:lang w:val="ru-RU"/>
        </w:rPr>
        <w:t>。详见下图。</w:t>
      </w:r>
    </w:p>
    <w:p>
      <w:pPr>
        <w:jc w:val="left"/>
        <w:rPr>
          <w:sz w:val="28"/>
          <w:szCs w:val="28"/>
        </w:rPr>
      </w:pPr>
      <w:r>
        <w:rPr>
          <w:sz w:val="28"/>
          <w:szCs w:val="28"/>
        </w:rPr>
        <w:drawing>
          <wp:inline distT="0" distB="0" distL="0" distR="0">
            <wp:extent cx="5274310" cy="3076575"/>
            <wp:effectExtent l="5080" t="4445" r="16510" b="5080"/>
            <wp:docPr id="28" name="图表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pPr>
        <w:jc w:val="center"/>
        <w:rPr>
          <w:rFonts w:hint="default" w:asciiTheme="minorEastAsia" w:hAnsiTheme="minorEastAsia" w:eastAsiaTheme="minorEastAsia"/>
          <w:sz w:val="20"/>
          <w:szCs w:val="20"/>
          <w:lang w:val="en-US" w:eastAsia="zh-CN"/>
        </w:rPr>
      </w:pPr>
      <w:r>
        <w:rPr>
          <w:rFonts w:hint="eastAsia" w:asciiTheme="minorEastAsia" w:hAnsiTheme="minorEastAsia" w:eastAsiaTheme="minorEastAsia"/>
          <w:sz w:val="20"/>
          <w:szCs w:val="20"/>
          <w:lang w:val="ru-RU"/>
        </w:rPr>
        <w:t>图</w:t>
      </w:r>
      <w:r>
        <w:rPr>
          <w:rFonts w:asciiTheme="minorEastAsia" w:hAnsiTheme="minorEastAsia" w:eastAsiaTheme="minorEastAsia"/>
          <w:sz w:val="20"/>
          <w:szCs w:val="20"/>
          <w:lang w:val="ru-RU"/>
        </w:rPr>
        <w:t xml:space="preserve"> </w:t>
      </w:r>
      <w:r>
        <w:rPr>
          <w:rFonts w:hint="eastAsia" w:asciiTheme="minorEastAsia" w:hAnsiTheme="minorEastAsia" w:eastAsiaTheme="minorEastAsia"/>
          <w:sz w:val="20"/>
          <w:szCs w:val="20"/>
          <w:lang w:val="en-US" w:eastAsia="zh-CN"/>
        </w:rPr>
        <w:t>10</w:t>
      </w:r>
      <w:r>
        <w:rPr>
          <w:rFonts w:asciiTheme="minorEastAsia" w:hAnsiTheme="minorEastAsia" w:eastAsiaTheme="minorEastAsia"/>
          <w:sz w:val="20"/>
          <w:szCs w:val="20"/>
          <w:lang w:val="ru-RU"/>
        </w:rPr>
        <w:t>-</w:t>
      </w:r>
      <w:r>
        <w:rPr>
          <w:rFonts w:hint="eastAsia" w:asciiTheme="minorEastAsia" w:hAnsiTheme="minorEastAsia" w:eastAsiaTheme="minorEastAsia"/>
          <w:sz w:val="20"/>
          <w:szCs w:val="20"/>
          <w:lang w:val="en-US" w:eastAsia="zh-CN"/>
        </w:rPr>
        <w:t>3</w:t>
      </w:r>
      <w:r>
        <w:rPr>
          <w:rFonts w:asciiTheme="minorEastAsia" w:hAnsiTheme="minorEastAsia" w:eastAsiaTheme="minorEastAsia"/>
          <w:sz w:val="20"/>
          <w:szCs w:val="20"/>
          <w:lang w:val="ru-RU"/>
        </w:rPr>
        <w:t xml:space="preserve"> 20</w:t>
      </w:r>
      <w:r>
        <w:rPr>
          <w:rFonts w:hint="eastAsia" w:asciiTheme="minorEastAsia" w:hAnsiTheme="minorEastAsia" w:eastAsiaTheme="minorEastAsia"/>
          <w:sz w:val="20"/>
          <w:szCs w:val="20"/>
          <w:lang w:val="en-US" w:eastAsia="zh-CN"/>
        </w:rPr>
        <w:t>21</w:t>
      </w:r>
      <w:r>
        <w:rPr>
          <w:rFonts w:asciiTheme="minorEastAsia" w:hAnsiTheme="minorEastAsia" w:eastAsiaTheme="minorEastAsia"/>
          <w:sz w:val="20"/>
          <w:szCs w:val="20"/>
          <w:lang w:val="ru-RU"/>
        </w:rPr>
        <w:t>-20</w:t>
      </w:r>
      <w:r>
        <w:rPr>
          <w:rFonts w:hint="eastAsia" w:asciiTheme="minorEastAsia" w:hAnsiTheme="minorEastAsia" w:eastAsiaTheme="minorEastAsia"/>
          <w:sz w:val="20"/>
          <w:szCs w:val="20"/>
          <w:lang w:val="en-US" w:eastAsia="zh-CN"/>
        </w:rPr>
        <w:t>23</w:t>
      </w:r>
      <w:r>
        <w:rPr>
          <w:rFonts w:hint="eastAsia" w:asciiTheme="minorEastAsia" w:hAnsiTheme="minorEastAsia" w:eastAsiaTheme="minorEastAsia"/>
          <w:sz w:val="20"/>
          <w:szCs w:val="20"/>
          <w:lang w:val="ru-RU"/>
        </w:rPr>
        <w:t>届毕业生</w:t>
      </w:r>
      <w:r>
        <w:rPr>
          <w:rFonts w:hint="eastAsia" w:asciiTheme="minorEastAsia" w:hAnsiTheme="minorEastAsia" w:eastAsiaTheme="minorEastAsia"/>
          <w:sz w:val="20"/>
          <w:szCs w:val="20"/>
          <w:lang w:val="en-US" w:eastAsia="zh-CN"/>
        </w:rPr>
        <w:t>自主创业情况</w:t>
      </w:r>
    </w:p>
    <w:p>
      <w:pPr>
        <w:jc w:val="left"/>
        <w:rPr>
          <w:rFonts w:hint="eastAsia"/>
          <w:sz w:val="28"/>
          <w:szCs w:val="28"/>
          <w:lang w:val="ru-RU"/>
        </w:rPr>
      </w:pPr>
    </w:p>
    <w:p>
      <w:pPr>
        <w:pStyle w:val="6"/>
        <w:rPr>
          <w:rFonts w:hint="eastAsia"/>
          <w:sz w:val="28"/>
          <w:szCs w:val="28"/>
          <w:lang w:val="ru-RU"/>
        </w:rPr>
      </w:pPr>
    </w:p>
    <w:p>
      <w:pPr>
        <w:pStyle w:val="2"/>
        <w:rPr>
          <w:rFonts w:hint="eastAsia"/>
          <w:sz w:val="28"/>
          <w:szCs w:val="28"/>
          <w:lang w:val="ru-RU"/>
        </w:rPr>
      </w:pPr>
    </w:p>
    <w:p>
      <w:pPr>
        <w:rPr>
          <w:rFonts w:hint="eastAsia"/>
          <w:sz w:val="28"/>
          <w:szCs w:val="28"/>
          <w:lang w:val="ru-RU"/>
        </w:rPr>
      </w:pPr>
    </w:p>
    <w:p>
      <w:pPr>
        <w:pStyle w:val="6"/>
        <w:rPr>
          <w:rFonts w:hint="eastAsia"/>
          <w:sz w:val="28"/>
          <w:szCs w:val="28"/>
          <w:lang w:val="ru-RU"/>
        </w:rPr>
      </w:pPr>
    </w:p>
    <w:p>
      <w:pPr>
        <w:pStyle w:val="2"/>
        <w:rPr>
          <w:rFonts w:hint="eastAsia"/>
          <w:sz w:val="28"/>
          <w:szCs w:val="28"/>
          <w:lang w:val="ru-RU"/>
        </w:rPr>
      </w:pPr>
    </w:p>
    <w:p>
      <w:pPr>
        <w:rPr>
          <w:rFonts w:hint="eastAsia"/>
          <w:sz w:val="28"/>
          <w:szCs w:val="28"/>
          <w:lang w:val="ru-RU"/>
        </w:rPr>
      </w:pPr>
    </w:p>
    <w:p>
      <w:pPr>
        <w:pStyle w:val="2"/>
        <w:ind w:left="0" w:leftChars="0" w:firstLine="0" w:firstLineChars="0"/>
        <w:rPr>
          <w:rFonts w:hint="eastAsia"/>
          <w:lang w:val="ru-RU"/>
        </w:rPr>
      </w:pPr>
    </w:p>
    <w:p>
      <w:pPr>
        <w:rPr>
          <w:rFonts w:hint="eastAsia"/>
          <w:lang w:val="ru-RU"/>
        </w:rPr>
      </w:pPr>
    </w:p>
    <w:p>
      <w:pPr>
        <w:pStyle w:val="6"/>
        <w:rPr>
          <w:rFonts w:hint="eastAsia"/>
          <w:lang w:val="ru-RU"/>
        </w:rPr>
      </w:pPr>
    </w:p>
    <w:p>
      <w:pPr>
        <w:jc w:val="center"/>
        <w:rPr>
          <w:sz w:val="36"/>
          <w:szCs w:val="36"/>
          <w:highlight w:val="yellow"/>
          <w:lang w:val="ru-RU"/>
        </w:rPr>
      </w:pPr>
      <w:r>
        <w:rPr>
          <w:rFonts w:hint="eastAsia"/>
          <w:sz w:val="36"/>
          <w:szCs w:val="36"/>
          <w:highlight w:val="none"/>
          <w:lang w:val="en-US" w:eastAsia="zh-CN"/>
        </w:rPr>
        <w:t>第十一章</w:t>
      </w:r>
      <w:r>
        <w:rPr>
          <w:rFonts w:hint="eastAsia"/>
          <w:sz w:val="36"/>
          <w:szCs w:val="36"/>
          <w:highlight w:val="none"/>
          <w:lang w:val="ru-RU"/>
        </w:rPr>
        <w:t xml:space="preserve"> </w:t>
      </w:r>
      <w:r>
        <w:rPr>
          <w:sz w:val="36"/>
          <w:szCs w:val="36"/>
          <w:highlight w:val="none"/>
          <w:lang w:val="ru-RU"/>
        </w:rPr>
        <w:t>20</w:t>
      </w:r>
      <w:r>
        <w:rPr>
          <w:rFonts w:hint="eastAsia"/>
          <w:sz w:val="36"/>
          <w:szCs w:val="36"/>
          <w:highlight w:val="none"/>
          <w:lang w:val="en-US" w:eastAsia="zh-CN"/>
        </w:rPr>
        <w:t>23</w:t>
      </w:r>
      <w:r>
        <w:rPr>
          <w:sz w:val="36"/>
          <w:szCs w:val="36"/>
          <w:highlight w:val="none"/>
          <w:lang w:val="ru-RU"/>
        </w:rPr>
        <w:t>届毕业生就业工作举措</w:t>
      </w:r>
    </w:p>
    <w:p>
      <w:pPr>
        <w:ind w:firstLine="560" w:firstLineChars="200"/>
        <w:jc w:val="left"/>
        <w:rPr>
          <w:sz w:val="28"/>
          <w:szCs w:val="28"/>
          <w:lang w:val="ru-RU"/>
        </w:rPr>
      </w:pPr>
      <w:r>
        <w:rPr>
          <w:sz w:val="28"/>
          <w:szCs w:val="28"/>
          <w:lang w:val="ru-RU"/>
        </w:rPr>
        <w:t>学</w:t>
      </w:r>
      <w:r>
        <w:rPr>
          <w:rFonts w:hint="eastAsia"/>
          <w:sz w:val="28"/>
          <w:szCs w:val="28"/>
          <w:lang w:val="en-US" w:eastAsia="zh-CN"/>
        </w:rPr>
        <w:t>校</w:t>
      </w:r>
      <w:r>
        <w:rPr>
          <w:sz w:val="28"/>
          <w:szCs w:val="28"/>
          <w:lang w:val="ru-RU"/>
        </w:rPr>
        <w:t>高度重视就业创业工作，</w:t>
      </w:r>
      <w:r>
        <w:rPr>
          <w:rFonts w:hint="eastAsia"/>
          <w:sz w:val="28"/>
          <w:szCs w:val="28"/>
          <w:lang w:val="ru-RU" w:eastAsia="zh-CN"/>
        </w:rPr>
        <w:t>认真</w:t>
      </w:r>
      <w:r>
        <w:rPr>
          <w:sz w:val="28"/>
          <w:szCs w:val="28"/>
          <w:lang w:val="ru-RU"/>
        </w:rPr>
        <w:t>落实就业创业“一把手工程”，以高质量就业为导向，整合校内外资源</w:t>
      </w:r>
      <w:r>
        <w:rPr>
          <w:rFonts w:hint="eastAsia"/>
          <w:sz w:val="28"/>
          <w:szCs w:val="28"/>
          <w:lang w:val="ru-RU" w:eastAsia="zh-CN"/>
        </w:rPr>
        <w:t>，</w:t>
      </w:r>
      <w:r>
        <w:rPr>
          <w:sz w:val="28"/>
          <w:szCs w:val="28"/>
          <w:lang w:val="ru-RU"/>
        </w:rPr>
        <w:t>逐步形成了领导重视、管理科学、机构完善、制度健全、队伍专业、经费充裕的良好工作局面。20</w:t>
      </w:r>
      <w:r>
        <w:rPr>
          <w:rFonts w:hint="eastAsia"/>
          <w:sz w:val="28"/>
          <w:szCs w:val="28"/>
          <w:lang w:val="en-US" w:eastAsia="zh-CN"/>
        </w:rPr>
        <w:t>23</w:t>
      </w:r>
      <w:r>
        <w:rPr>
          <w:rFonts w:hint="eastAsia"/>
          <w:sz w:val="28"/>
          <w:szCs w:val="28"/>
          <w:lang w:val="ru-RU"/>
        </w:rPr>
        <w:t>届</w:t>
      </w:r>
      <w:r>
        <w:rPr>
          <w:sz w:val="28"/>
          <w:szCs w:val="28"/>
          <w:lang w:val="ru-RU"/>
        </w:rPr>
        <w:t>毕业生的年终</w:t>
      </w:r>
      <w:r>
        <w:rPr>
          <w:rFonts w:hint="eastAsia"/>
          <w:sz w:val="28"/>
          <w:szCs w:val="28"/>
          <w:lang w:val="en-US" w:eastAsia="zh-CN"/>
        </w:rPr>
        <w:t>毕业去向落实</w:t>
      </w:r>
      <w:r>
        <w:rPr>
          <w:sz w:val="28"/>
          <w:szCs w:val="28"/>
          <w:lang w:val="ru-RU"/>
        </w:rPr>
        <w:t>率在</w:t>
      </w:r>
      <w:r>
        <w:rPr>
          <w:rFonts w:hint="eastAsia"/>
          <w:sz w:val="28"/>
          <w:szCs w:val="28"/>
          <w:lang w:val="ru-RU"/>
        </w:rPr>
        <w:t>9</w:t>
      </w:r>
      <w:r>
        <w:rPr>
          <w:rFonts w:hint="eastAsia"/>
          <w:sz w:val="28"/>
          <w:szCs w:val="28"/>
          <w:lang w:val="en-US" w:eastAsia="zh-CN"/>
        </w:rPr>
        <w:t>5</w:t>
      </w:r>
      <w:r>
        <w:rPr>
          <w:sz w:val="28"/>
          <w:szCs w:val="28"/>
          <w:lang w:val="ru-RU"/>
        </w:rPr>
        <w:t>%以上，实现了毕业生满意和用人单位满意的双满意目标。</w:t>
      </w:r>
      <w:r>
        <w:rPr>
          <w:rFonts w:hint="eastAsia"/>
          <w:sz w:val="28"/>
          <w:szCs w:val="28"/>
          <w:lang w:val="ru-RU"/>
        </w:rPr>
        <w:t>主要做法是</w:t>
      </w:r>
      <w:r>
        <w:rPr>
          <w:sz w:val="28"/>
          <w:szCs w:val="28"/>
          <w:lang w:val="ru-RU"/>
        </w:rPr>
        <w:t>：</w:t>
      </w:r>
    </w:p>
    <w:p>
      <w:pPr>
        <w:numPr>
          <w:ilvl w:val="0"/>
          <w:numId w:val="14"/>
        </w:numPr>
        <w:spacing w:line="580" w:lineRule="exact"/>
        <w:ind w:firstLine="562" w:firstLineChars="200"/>
        <w:rPr>
          <w:rFonts w:hint="eastAsia" w:ascii="宋体" w:hAnsi="宋体" w:eastAsia="宋体" w:cs="宋体"/>
          <w:b/>
          <w:bCs w:val="0"/>
          <w:sz w:val="28"/>
          <w:szCs w:val="28"/>
        </w:rPr>
      </w:pPr>
      <w:r>
        <w:rPr>
          <w:rFonts w:hint="eastAsia" w:ascii="宋体" w:hAnsi="宋体" w:eastAsia="宋体" w:cs="宋体"/>
          <w:b/>
          <w:bCs w:val="0"/>
          <w:kern w:val="0"/>
          <w:sz w:val="28"/>
          <w:szCs w:val="28"/>
          <w:lang w:val="en-US" w:eastAsia="zh-CN" w:bidi="ar-SA"/>
        </w:rPr>
        <w:t>始终</w:t>
      </w:r>
      <w:r>
        <w:rPr>
          <w:rFonts w:hint="eastAsia" w:ascii="宋体" w:hAnsi="宋体" w:eastAsia="宋体" w:cs="宋体"/>
          <w:b/>
          <w:bCs w:val="0"/>
          <w:sz w:val="28"/>
          <w:szCs w:val="28"/>
        </w:rPr>
        <w:t>把政治建设摆在首位，坚决做到“两个维护”</w:t>
      </w:r>
    </w:p>
    <w:p>
      <w:pPr>
        <w:numPr>
          <w:ilvl w:val="0"/>
          <w:numId w:val="0"/>
        </w:numPr>
        <w:spacing w:line="580" w:lineRule="exact"/>
        <w:ind w:firstLine="560" w:firstLineChars="200"/>
        <w:rPr>
          <w:sz w:val="28"/>
          <w:szCs w:val="28"/>
          <w:lang w:val="ru-RU"/>
        </w:rPr>
      </w:pPr>
      <w:r>
        <w:rPr>
          <w:rFonts w:hint="eastAsia" w:ascii="宋体" w:hAnsi="宋体" w:eastAsia="宋体" w:cs="宋体"/>
          <w:sz w:val="28"/>
          <w:szCs w:val="28"/>
        </w:rPr>
        <w:t>持续推动习近平新时代中国特色社会主义思想进课程、进培训、进读本，注重学习的深化、内容的消化、实践的转化，引导干部师生始终同党中央保持高度一致。全面贯彻党的教育方针，在培养社会主义建设者和接班人上站稳立场、把牢方向，确保学</w:t>
      </w:r>
      <w:r>
        <w:rPr>
          <w:rFonts w:hint="eastAsia" w:ascii="宋体" w:hAnsi="宋体" w:cs="宋体"/>
          <w:sz w:val="28"/>
          <w:szCs w:val="28"/>
          <w:lang w:val="en-US" w:eastAsia="zh-CN"/>
        </w:rPr>
        <w:t>校</w:t>
      </w:r>
      <w:r>
        <w:rPr>
          <w:rFonts w:hint="eastAsia" w:ascii="宋体" w:hAnsi="宋体" w:eastAsia="宋体" w:cs="宋体"/>
          <w:sz w:val="28"/>
          <w:szCs w:val="28"/>
        </w:rPr>
        <w:t>发展始终在安定团结的良好局面下进行。</w:t>
      </w:r>
    </w:p>
    <w:p>
      <w:pPr>
        <w:numPr>
          <w:ilvl w:val="0"/>
          <w:numId w:val="14"/>
        </w:numPr>
        <w:spacing w:line="580" w:lineRule="exact"/>
        <w:ind w:firstLine="562" w:firstLineChars="200"/>
        <w:rPr>
          <w:rFonts w:hint="eastAsia"/>
          <w:sz w:val="28"/>
          <w:szCs w:val="28"/>
          <w:highlight w:val="none"/>
          <w:lang w:val="ru-RU"/>
        </w:rPr>
      </w:pPr>
      <w:r>
        <w:rPr>
          <w:rFonts w:hint="eastAsia" w:ascii="宋体" w:hAnsi="宋体" w:eastAsia="宋体" w:cs="宋体"/>
          <w:b/>
          <w:bCs w:val="0"/>
          <w:kern w:val="0"/>
          <w:sz w:val="28"/>
          <w:szCs w:val="28"/>
          <w:lang w:val="en-US" w:eastAsia="zh-CN" w:bidi="ar-SA"/>
        </w:rPr>
        <w:t>领导重视，全力保障到位</w:t>
      </w:r>
    </w:p>
    <w:p>
      <w:pPr>
        <w:numPr>
          <w:ilvl w:val="0"/>
          <w:numId w:val="0"/>
        </w:numPr>
        <w:spacing w:line="580" w:lineRule="exact"/>
        <w:ind w:firstLine="560" w:firstLineChars="200"/>
        <w:rPr>
          <w:rFonts w:hint="eastAsia"/>
          <w:sz w:val="28"/>
          <w:szCs w:val="28"/>
          <w:highlight w:val="none"/>
          <w:lang w:val="ru-RU"/>
        </w:rPr>
      </w:pPr>
      <w:r>
        <w:rPr>
          <w:rFonts w:hint="eastAsia"/>
          <w:sz w:val="28"/>
          <w:szCs w:val="28"/>
          <w:highlight w:val="none"/>
          <w:lang w:val="en-US" w:eastAsia="zh-CN"/>
        </w:rPr>
        <w:t>学校党委、行政高度重视毕业生就业创业工作，把就业创业工作放在关乎学校生存与可持续发展的战略高度，纳入学校事业发展规划，严格落实省教育厅工作要求，把提高学生就业创业能力、就业质量和毕业生毕业去向落实率作为就业创业工作的重中之重。</w:t>
      </w:r>
      <w:r>
        <w:rPr>
          <w:rFonts w:hint="eastAsia"/>
          <w:sz w:val="28"/>
          <w:szCs w:val="28"/>
          <w:highlight w:val="none"/>
          <w:lang w:val="ru-RU"/>
        </w:rPr>
        <w:t>书记、</w:t>
      </w:r>
      <w:r>
        <w:rPr>
          <w:rFonts w:hint="eastAsia"/>
          <w:sz w:val="28"/>
          <w:szCs w:val="28"/>
          <w:highlight w:val="none"/>
          <w:lang w:val="en-US" w:eastAsia="zh-CN"/>
        </w:rPr>
        <w:t>校</w:t>
      </w:r>
      <w:r>
        <w:rPr>
          <w:rFonts w:hint="eastAsia"/>
          <w:sz w:val="28"/>
          <w:szCs w:val="28"/>
          <w:highlight w:val="none"/>
          <w:lang w:val="ru-RU"/>
        </w:rPr>
        <w:t>长亲自抓</w:t>
      </w:r>
      <w:r>
        <w:rPr>
          <w:rFonts w:hint="eastAsia"/>
          <w:sz w:val="28"/>
          <w:szCs w:val="28"/>
          <w:highlight w:val="none"/>
          <w:lang w:val="en-US" w:eastAsia="zh-CN"/>
        </w:rPr>
        <w:t>就业创业工作</w:t>
      </w:r>
      <w:r>
        <w:rPr>
          <w:rFonts w:hint="eastAsia"/>
          <w:sz w:val="28"/>
          <w:szCs w:val="28"/>
          <w:highlight w:val="none"/>
          <w:lang w:val="ru-RU"/>
        </w:rPr>
        <w:t>，为我</w:t>
      </w:r>
      <w:r>
        <w:rPr>
          <w:rFonts w:hint="eastAsia"/>
          <w:sz w:val="28"/>
          <w:szCs w:val="28"/>
          <w:highlight w:val="none"/>
          <w:lang w:val="en-US" w:eastAsia="zh-CN"/>
        </w:rPr>
        <w:t>校</w:t>
      </w:r>
      <w:r>
        <w:rPr>
          <w:rFonts w:hint="eastAsia"/>
          <w:sz w:val="28"/>
          <w:szCs w:val="28"/>
          <w:highlight w:val="none"/>
          <w:lang w:val="ru-RU"/>
        </w:rPr>
        <w:t>就业创业工作提供有效保障。</w:t>
      </w:r>
    </w:p>
    <w:p>
      <w:pPr>
        <w:ind w:firstLine="562" w:firstLineChars="200"/>
        <w:jc w:val="left"/>
        <w:rPr>
          <w:rFonts w:hint="default"/>
          <w:b/>
          <w:bCs/>
          <w:sz w:val="28"/>
          <w:szCs w:val="28"/>
          <w:lang w:val="en-US" w:eastAsia="zh-CN"/>
        </w:rPr>
      </w:pPr>
      <w:r>
        <w:rPr>
          <w:rFonts w:hint="eastAsia"/>
          <w:b/>
          <w:bCs/>
          <w:sz w:val="28"/>
          <w:szCs w:val="28"/>
          <w:lang w:val="en-US" w:eastAsia="zh-CN"/>
        </w:rPr>
        <w:t>1.组织机构到位</w:t>
      </w:r>
    </w:p>
    <w:p>
      <w:pPr>
        <w:ind w:firstLine="560" w:firstLineChars="200"/>
        <w:jc w:val="left"/>
        <w:rPr>
          <w:rFonts w:hint="eastAsia" w:eastAsia="宋体" w:cs="Times New Roman"/>
          <w:sz w:val="28"/>
          <w:szCs w:val="28"/>
          <w:highlight w:val="none"/>
          <w:lang w:val="en-US" w:eastAsia="zh-CN"/>
        </w:rPr>
      </w:pPr>
      <w:r>
        <w:rPr>
          <w:rFonts w:hint="eastAsia"/>
          <w:sz w:val="28"/>
          <w:szCs w:val="28"/>
          <w:lang w:val="en-US" w:eastAsia="zh-CN"/>
        </w:rPr>
        <w:t>学校成立了校级就业创业工作领导小组，党委书记、校长任组长，党委委员任副组长，相关职能部门负责同志</w:t>
      </w:r>
      <w:r>
        <w:rPr>
          <w:rFonts w:hint="eastAsia"/>
          <w:sz w:val="28"/>
          <w:szCs w:val="28"/>
          <w:highlight w:val="none"/>
          <w:lang w:val="en-US" w:eastAsia="zh-CN"/>
        </w:rPr>
        <w:t>和二级学院总支书记、教学院长为成员的就业创业工作领导小组，统揽和部署学校毕业生就业工作。</w:t>
      </w:r>
      <w:r>
        <w:rPr>
          <w:rFonts w:hint="eastAsia" w:eastAsia="宋体" w:cs="Times New Roman"/>
          <w:sz w:val="28"/>
          <w:szCs w:val="28"/>
          <w:highlight w:val="none"/>
          <w:lang w:val="en-US" w:eastAsia="zh-CN"/>
        </w:rPr>
        <w:t>2022年9月以来，学校召开</w:t>
      </w:r>
      <w:r>
        <w:rPr>
          <w:rFonts w:hint="eastAsia" w:cs="Times New Roman"/>
          <w:sz w:val="28"/>
          <w:szCs w:val="28"/>
          <w:highlight w:val="none"/>
          <w:lang w:val="en-US" w:eastAsia="zh-CN"/>
        </w:rPr>
        <w:t>就业工作</w:t>
      </w:r>
      <w:r>
        <w:rPr>
          <w:rFonts w:hint="eastAsia" w:eastAsia="宋体" w:cs="Times New Roman"/>
          <w:sz w:val="28"/>
          <w:szCs w:val="28"/>
          <w:highlight w:val="none"/>
          <w:lang w:val="en-US" w:eastAsia="zh-CN"/>
        </w:rPr>
        <w:t>专题</w:t>
      </w:r>
      <w:r>
        <w:rPr>
          <w:rFonts w:hint="eastAsia" w:cs="Times New Roman"/>
          <w:sz w:val="28"/>
          <w:szCs w:val="28"/>
          <w:highlight w:val="none"/>
          <w:lang w:val="en-US" w:eastAsia="zh-CN"/>
        </w:rPr>
        <w:t>会议</w:t>
      </w:r>
      <w:r>
        <w:rPr>
          <w:rFonts w:hint="eastAsia" w:eastAsia="宋体" w:cs="Times New Roman"/>
          <w:sz w:val="28"/>
          <w:szCs w:val="28"/>
          <w:highlight w:val="none"/>
          <w:lang w:val="en-US" w:eastAsia="zh-CN"/>
        </w:rPr>
        <w:t>达14次，专题</w:t>
      </w:r>
      <w:r>
        <w:rPr>
          <w:rFonts w:hint="eastAsia" w:eastAsia="宋体" w:cs="Times New Roman"/>
          <w:sz w:val="28"/>
          <w:szCs w:val="28"/>
          <w:lang w:val="en-US" w:eastAsia="zh-CN"/>
        </w:rPr>
        <w:t>研究贯彻国家和省里有关会议、文</w:t>
      </w:r>
      <w:r>
        <w:rPr>
          <w:rFonts w:hint="default" w:eastAsia="宋体" w:cs="Times New Roman"/>
          <w:sz w:val="28"/>
          <w:szCs w:val="28"/>
          <w:lang w:val="en-US" w:eastAsia="zh-CN"/>
        </w:rPr>
        <w:t>件精神及学校就业工作。</w:t>
      </w:r>
      <w:r>
        <w:rPr>
          <w:rFonts w:hint="eastAsia" w:eastAsia="宋体" w:cs="Times New Roman"/>
          <w:sz w:val="28"/>
          <w:szCs w:val="28"/>
          <w:lang w:val="en-US" w:eastAsia="zh-CN"/>
        </w:rPr>
        <w:t>二</w:t>
      </w:r>
      <w:r>
        <w:rPr>
          <w:rFonts w:hint="eastAsia"/>
          <w:sz w:val="28"/>
          <w:szCs w:val="28"/>
          <w:lang w:val="en-US" w:eastAsia="zh-CN"/>
        </w:rPr>
        <w:t>级学院成立了由总支书记、院长任组长，总支副书记、辅导员为成员的就业</w:t>
      </w:r>
      <w:r>
        <w:rPr>
          <w:rFonts w:hint="eastAsia" w:eastAsia="宋体" w:cs="Times New Roman"/>
          <w:sz w:val="28"/>
          <w:szCs w:val="28"/>
          <w:highlight w:val="none"/>
          <w:lang w:val="en-US" w:eastAsia="zh-CN"/>
        </w:rPr>
        <w:t>创业工作领导小组，负责处理各二级学院毕业生就业创业的具体事务，为就业创业指导、服务、管理提供了有利的组织保障。</w:t>
      </w:r>
    </w:p>
    <w:p>
      <w:pPr>
        <w:ind w:firstLine="562" w:firstLineChars="200"/>
        <w:jc w:val="left"/>
        <w:rPr>
          <w:rFonts w:hint="eastAsia" w:eastAsia="宋体" w:cs="Times New Roman"/>
          <w:b/>
          <w:bCs/>
          <w:sz w:val="28"/>
          <w:szCs w:val="28"/>
          <w:highlight w:val="none"/>
          <w:lang w:val="en-US" w:eastAsia="zh-CN"/>
        </w:rPr>
      </w:pPr>
      <w:r>
        <w:rPr>
          <w:rFonts w:hint="eastAsia" w:eastAsia="宋体" w:cs="Times New Roman"/>
          <w:b/>
          <w:bCs/>
          <w:sz w:val="28"/>
          <w:szCs w:val="28"/>
          <w:highlight w:val="none"/>
          <w:lang w:val="en-US" w:eastAsia="zh-CN"/>
        </w:rPr>
        <w:t>2.制度到位</w:t>
      </w:r>
    </w:p>
    <w:p>
      <w:pPr>
        <w:ind w:firstLine="560" w:firstLineChars="200"/>
        <w:jc w:val="left"/>
        <w:rPr>
          <w:rFonts w:hint="default" w:eastAsia="宋体" w:cs="Times New Roman"/>
          <w:sz w:val="28"/>
          <w:szCs w:val="28"/>
          <w:highlight w:val="none"/>
          <w:lang w:val="en-US" w:eastAsia="zh-CN"/>
        </w:rPr>
      </w:pPr>
      <w:r>
        <w:rPr>
          <w:rFonts w:hint="eastAsia" w:eastAsia="宋体" w:cs="Times New Roman"/>
          <w:sz w:val="28"/>
          <w:szCs w:val="28"/>
          <w:highlight w:val="none"/>
          <w:lang w:val="en-US" w:eastAsia="zh-CN"/>
        </w:rPr>
        <w:t>学校下发了《邵阳职业技术学院关于开展2023届毕业生“就业促进周”暨“百日冲刺”活动方案》、《邵阳职业技术学院访企拓岗促就业专项行动实施方案》、《关于做好我校2023届困难毕业生群体就业帮扶工作的通知》等13</w:t>
      </w:r>
      <w:r>
        <w:rPr>
          <w:rFonts w:hint="default" w:eastAsia="宋体" w:cs="Times New Roman"/>
          <w:sz w:val="28"/>
          <w:szCs w:val="28"/>
          <w:highlight w:val="none"/>
          <w:lang w:val="en-US" w:eastAsia="zh-CN"/>
        </w:rPr>
        <w:t>个文件</w:t>
      </w:r>
      <w:r>
        <w:rPr>
          <w:rFonts w:hint="eastAsia" w:eastAsia="宋体" w:cs="Times New Roman"/>
          <w:sz w:val="28"/>
          <w:szCs w:val="28"/>
          <w:highlight w:val="none"/>
          <w:lang w:val="en-US" w:eastAsia="zh-CN"/>
        </w:rPr>
        <w:t>，各二级学院也</w:t>
      </w:r>
      <w:r>
        <w:rPr>
          <w:rFonts w:hint="default" w:eastAsia="宋体" w:cs="Times New Roman"/>
          <w:sz w:val="28"/>
          <w:szCs w:val="28"/>
          <w:highlight w:val="none"/>
          <w:lang w:val="en-US" w:eastAsia="zh-CN"/>
        </w:rPr>
        <w:t>制定</w:t>
      </w:r>
      <w:r>
        <w:rPr>
          <w:rFonts w:hint="eastAsia" w:eastAsia="宋体" w:cs="Times New Roman"/>
          <w:sz w:val="28"/>
          <w:szCs w:val="28"/>
          <w:highlight w:val="none"/>
          <w:lang w:val="en-US" w:eastAsia="zh-CN"/>
        </w:rPr>
        <w:t>了</w:t>
      </w:r>
      <w:r>
        <w:rPr>
          <w:rFonts w:hint="default" w:eastAsia="宋体" w:cs="Times New Roman"/>
          <w:sz w:val="28"/>
          <w:szCs w:val="28"/>
          <w:highlight w:val="none"/>
          <w:lang w:val="en-US" w:eastAsia="zh-CN"/>
        </w:rPr>
        <w:t>具体、配套的就业创业工作方案，促进工作落到实处。</w:t>
      </w:r>
    </w:p>
    <w:p>
      <w:pPr>
        <w:ind w:firstLine="562" w:firstLineChars="200"/>
        <w:jc w:val="left"/>
        <w:rPr>
          <w:rFonts w:hint="default" w:eastAsia="宋体" w:cs="Times New Roman"/>
          <w:b/>
          <w:bCs/>
          <w:sz w:val="28"/>
          <w:szCs w:val="28"/>
          <w:highlight w:val="none"/>
          <w:lang w:val="en-US" w:eastAsia="zh-CN"/>
        </w:rPr>
      </w:pPr>
      <w:r>
        <w:rPr>
          <w:rFonts w:hint="eastAsia" w:eastAsia="宋体" w:cs="Times New Roman"/>
          <w:b/>
          <w:bCs/>
          <w:sz w:val="28"/>
          <w:szCs w:val="28"/>
          <w:highlight w:val="none"/>
          <w:lang w:val="en-US" w:eastAsia="zh-CN"/>
        </w:rPr>
        <w:t>3.人员到位</w:t>
      </w:r>
    </w:p>
    <w:p>
      <w:pPr>
        <w:ind w:firstLine="560" w:firstLineChars="200"/>
        <w:jc w:val="left"/>
        <w:rPr>
          <w:rFonts w:hint="eastAsia" w:eastAsia="宋体" w:cs="Times New Roman"/>
          <w:sz w:val="28"/>
          <w:szCs w:val="28"/>
          <w:highlight w:val="none"/>
          <w:lang w:val="en-US" w:eastAsia="zh-CN"/>
        </w:rPr>
      </w:pPr>
      <w:r>
        <w:rPr>
          <w:rFonts w:hint="eastAsia" w:eastAsia="宋体" w:cs="Times New Roman"/>
          <w:sz w:val="28"/>
          <w:szCs w:val="28"/>
          <w:highlight w:val="none"/>
          <w:lang w:val="en-US" w:eastAsia="zh-CN"/>
        </w:rPr>
        <w:t>学校成立了就业创业服务中心，全面负责就业</w:t>
      </w:r>
      <w:r>
        <w:rPr>
          <w:rFonts w:hint="eastAsia"/>
          <w:sz w:val="28"/>
          <w:szCs w:val="28"/>
          <w:lang w:val="en-US" w:eastAsia="zh-CN"/>
        </w:rPr>
        <w:t>创业工作的组织实施。学校近几年每年毕业生人数逐年增加，2023届毕业生人数为近年最高，达4022人，我校配备了就业创业专职人员9名，就业创业工作专职人员与应届毕业生的比例为1:447，达到教育部每500名毕业生至少配备一名就业专职人员的规定。</w:t>
      </w:r>
      <w:r>
        <w:rPr>
          <w:rFonts w:hint="eastAsia" w:eastAsia="宋体" w:cs="Times New Roman"/>
          <w:sz w:val="28"/>
          <w:szCs w:val="28"/>
          <w:highlight w:val="none"/>
          <w:lang w:val="en-US" w:eastAsia="zh-CN"/>
        </w:rPr>
        <w:t>建立健全就业创业教研室，充分发挥教研室在学生职业生涯规划、就业创业教学工作中的作用。重视师资队伍建设，吸纳兼职教师20余名。把《职业生涯规划与就业指导课》教师纳入职称评选范围，提高老师上课积极性。加强高素质专业化教师队伍培养，多次选送任课老师参加生涯规划师、创新创业导师等师资培训，致力打造内外互补、专兼结合的就业指导教师队伍。</w:t>
      </w:r>
    </w:p>
    <w:p>
      <w:pPr>
        <w:numPr>
          <w:ilvl w:val="0"/>
          <w:numId w:val="0"/>
        </w:numPr>
        <w:ind w:leftChars="0" w:firstLine="562" w:firstLineChars="200"/>
        <w:jc w:val="left"/>
        <w:rPr>
          <w:rFonts w:hint="default"/>
          <w:b/>
          <w:bCs/>
          <w:sz w:val="28"/>
          <w:szCs w:val="28"/>
          <w:lang w:val="en-US" w:eastAsia="zh-CN"/>
        </w:rPr>
      </w:pPr>
      <w:r>
        <w:rPr>
          <w:rFonts w:hint="eastAsia"/>
          <w:b/>
          <w:bCs/>
          <w:sz w:val="28"/>
          <w:szCs w:val="28"/>
          <w:lang w:val="en-US" w:eastAsia="zh-CN"/>
        </w:rPr>
        <w:t>4.经费到位</w:t>
      </w:r>
    </w:p>
    <w:p>
      <w:pPr>
        <w:ind w:firstLine="560" w:firstLineChars="200"/>
        <w:jc w:val="left"/>
        <w:rPr>
          <w:rFonts w:hint="default"/>
          <w:sz w:val="28"/>
          <w:szCs w:val="28"/>
          <w:lang w:val="en-US" w:eastAsia="zh-CN"/>
        </w:rPr>
      </w:pPr>
      <w:r>
        <w:rPr>
          <w:rFonts w:hint="eastAsia"/>
          <w:sz w:val="28"/>
          <w:szCs w:val="28"/>
          <w:lang w:val="en-US" w:eastAsia="zh-CN"/>
        </w:rPr>
        <w:t>学校每年按照不低于学费总额1%的标准安排就业工作专项经费，并列入财务预算，优先安排，2023年就业专项经费为48万元。按照不低于学费总额0.5%的标准安排创新创业教育专项经费，2023年创新创业教育专项经费为24万元。</w:t>
      </w:r>
    </w:p>
    <w:p>
      <w:pPr>
        <w:numPr>
          <w:ilvl w:val="0"/>
          <w:numId w:val="14"/>
        </w:numPr>
        <w:spacing w:line="580" w:lineRule="exact"/>
        <w:ind w:firstLine="562" w:firstLineChars="200"/>
        <w:rPr>
          <w:rFonts w:hint="eastAsia" w:ascii="宋体" w:hAnsi="宋体" w:eastAsia="宋体" w:cs="宋体"/>
          <w:b/>
          <w:bCs w:val="0"/>
          <w:kern w:val="0"/>
          <w:sz w:val="28"/>
          <w:szCs w:val="28"/>
          <w:lang w:val="en-US" w:eastAsia="zh-CN" w:bidi="ar-SA"/>
        </w:rPr>
      </w:pPr>
      <w:r>
        <w:rPr>
          <w:rFonts w:hint="eastAsia" w:ascii="宋体" w:hAnsi="宋体" w:eastAsia="宋体" w:cs="宋体"/>
          <w:b/>
          <w:bCs w:val="0"/>
          <w:kern w:val="0"/>
          <w:sz w:val="28"/>
          <w:szCs w:val="28"/>
          <w:lang w:val="en-US" w:eastAsia="zh-CN" w:bidi="ar-SA"/>
        </w:rPr>
        <w:t>齐心协力，推进构建高质量就业指导服务体系</w:t>
      </w:r>
    </w:p>
    <w:p>
      <w:pPr>
        <w:numPr>
          <w:ilvl w:val="0"/>
          <w:numId w:val="0"/>
        </w:numPr>
        <w:spacing w:line="580" w:lineRule="exact"/>
        <w:ind w:firstLine="562" w:firstLineChars="200"/>
        <w:rPr>
          <w:rFonts w:hint="eastAsia" w:ascii="宋体" w:hAnsi="宋体" w:eastAsia="宋体" w:cs="宋体"/>
          <w:b/>
          <w:bCs w:val="0"/>
          <w:kern w:val="0"/>
          <w:sz w:val="28"/>
          <w:szCs w:val="28"/>
          <w:lang w:val="en-US" w:eastAsia="zh-CN" w:bidi="ar-SA"/>
        </w:rPr>
      </w:pPr>
      <w:r>
        <w:rPr>
          <w:rFonts w:hint="eastAsia" w:ascii="宋体" w:hAnsi="宋体" w:eastAsia="宋体" w:cs="宋体"/>
          <w:b/>
          <w:bCs w:val="0"/>
          <w:kern w:val="0"/>
          <w:sz w:val="28"/>
          <w:szCs w:val="28"/>
          <w:lang w:val="en-US" w:eastAsia="zh-CN" w:bidi="ar-SA"/>
        </w:rPr>
        <w:t>1.积极开拓就业市场</w:t>
      </w:r>
    </w:p>
    <w:p>
      <w:pPr>
        <w:ind w:firstLine="560" w:firstLineChars="200"/>
        <w:jc w:val="left"/>
        <w:rPr>
          <w:rFonts w:hint="default" w:eastAsia="宋体" w:cs="Times New Roman"/>
          <w:sz w:val="28"/>
          <w:szCs w:val="28"/>
          <w:lang w:val="en-US" w:eastAsia="zh-CN"/>
        </w:rPr>
      </w:pPr>
      <w:r>
        <w:rPr>
          <w:rFonts w:hint="eastAsia" w:eastAsia="宋体" w:cs="Times New Roman"/>
          <w:sz w:val="28"/>
          <w:szCs w:val="28"/>
          <w:lang w:val="en-US" w:eastAsia="zh-CN"/>
        </w:rPr>
        <w:t>学校以重点行业和重点地域为依</w:t>
      </w:r>
      <w:r>
        <w:rPr>
          <w:rFonts w:hint="default" w:eastAsia="宋体" w:cs="Times New Roman"/>
          <w:sz w:val="28"/>
          <w:szCs w:val="28"/>
          <w:lang w:val="en-US" w:eastAsia="zh-CN"/>
        </w:rPr>
        <w:t>托</w:t>
      </w:r>
      <w:r>
        <w:rPr>
          <w:rFonts w:hint="eastAsia" w:eastAsia="宋体" w:cs="Times New Roman"/>
          <w:sz w:val="28"/>
          <w:szCs w:val="28"/>
          <w:lang w:val="en-US" w:eastAsia="zh-CN"/>
        </w:rPr>
        <w:t>，在党委书记、校长的示范带领下，二级学院党政负责人主动认领，持续开展访企拓岗，</w:t>
      </w:r>
      <w:r>
        <w:rPr>
          <w:rFonts w:hint="eastAsia"/>
          <w:sz w:val="28"/>
          <w:szCs w:val="28"/>
          <w:lang w:val="ru-RU"/>
        </w:rPr>
        <w:t>深入企业调研，了解企业人才需求</w:t>
      </w:r>
      <w:r>
        <w:rPr>
          <w:rFonts w:hint="eastAsia"/>
          <w:sz w:val="28"/>
          <w:szCs w:val="28"/>
          <w:lang w:val="ru-RU" w:eastAsia="zh-CN"/>
        </w:rPr>
        <w:t>，</w:t>
      </w:r>
      <w:r>
        <w:rPr>
          <w:rFonts w:hint="eastAsia"/>
          <w:sz w:val="28"/>
          <w:szCs w:val="28"/>
          <w:lang w:val="en-US" w:eastAsia="zh-CN"/>
        </w:rPr>
        <w:t>全面推进</w:t>
      </w:r>
      <w:r>
        <w:rPr>
          <w:rFonts w:hint="eastAsia"/>
          <w:sz w:val="28"/>
          <w:szCs w:val="28"/>
          <w:lang w:val="ru-RU"/>
        </w:rPr>
        <w:t>校企深度合作</w:t>
      </w:r>
      <w:r>
        <w:rPr>
          <w:rFonts w:hint="eastAsia" w:eastAsia="宋体" w:cs="Times New Roman"/>
          <w:sz w:val="28"/>
          <w:szCs w:val="28"/>
          <w:lang w:val="en-US" w:eastAsia="zh-CN"/>
        </w:rPr>
        <w:t>。学校加强与邵阳本地各县（市、区）经开区的对接，开展了“企业进校园，学生入园区”主题活动。与洞口经开区联合组织2024届洞口、武冈籍学生与企业座谈会，增进企业与学生之间的了解，提升学生本地就业意愿。通过走访企业，对接各县市区经开区、招聘会与企业单位面对面等方式，总计走访和对接的企业达162家，与往年相比有大幅度提升，为学生拓宽了就业岗位，为毕业生就业建立了稳定的就业市场。</w:t>
      </w:r>
    </w:p>
    <w:p>
      <w:pPr>
        <w:numPr>
          <w:ilvl w:val="0"/>
          <w:numId w:val="0"/>
        </w:numPr>
        <w:spacing w:line="580" w:lineRule="exact"/>
        <w:ind w:firstLine="562" w:firstLineChars="200"/>
        <w:rPr>
          <w:rFonts w:hint="eastAsia" w:ascii="宋体" w:hAnsi="宋体" w:eastAsia="宋体" w:cs="宋体"/>
          <w:b/>
          <w:bCs w:val="0"/>
          <w:kern w:val="0"/>
          <w:sz w:val="28"/>
          <w:szCs w:val="28"/>
          <w:lang w:val="en-US" w:eastAsia="zh-CN" w:bidi="ar-SA"/>
        </w:rPr>
      </w:pPr>
      <w:r>
        <w:rPr>
          <w:rFonts w:hint="eastAsia" w:ascii="宋体" w:hAnsi="宋体" w:eastAsia="宋体" w:cs="宋体"/>
          <w:b/>
          <w:bCs w:val="0"/>
          <w:kern w:val="0"/>
          <w:sz w:val="28"/>
          <w:szCs w:val="28"/>
          <w:lang w:val="en-US" w:eastAsia="zh-CN" w:bidi="ar-SA"/>
        </w:rPr>
        <w:t>2.主动对接外部资源</w:t>
      </w:r>
    </w:p>
    <w:p>
      <w:pPr>
        <w:ind w:firstLine="562" w:firstLineChars="200"/>
        <w:jc w:val="left"/>
        <w:rPr>
          <w:rFonts w:hint="eastAsia" w:ascii="仿宋_GB2312" w:hAnsi="Times New Roman" w:eastAsia="仿宋_GB2312" w:cs="Times New Roman"/>
          <w:color w:val="000000"/>
          <w:kern w:val="0"/>
          <w:sz w:val="32"/>
          <w:szCs w:val="32"/>
          <w:lang w:val="en-US" w:eastAsia="zh-CN" w:bidi="zh-TW"/>
        </w:rPr>
      </w:pPr>
      <w:r>
        <w:rPr>
          <w:rFonts w:hint="eastAsia" w:eastAsia="宋体" w:cs="Times New Roman"/>
          <w:b/>
          <w:bCs/>
          <w:sz w:val="28"/>
          <w:szCs w:val="28"/>
          <w:lang w:val="en-US" w:eastAsia="zh-CN"/>
        </w:rPr>
        <w:t>一是</w:t>
      </w:r>
      <w:r>
        <w:rPr>
          <w:rFonts w:hint="eastAsia" w:eastAsia="宋体" w:cs="Times New Roman"/>
          <w:sz w:val="28"/>
          <w:szCs w:val="28"/>
          <w:lang w:val="en-US" w:eastAsia="zh-CN"/>
        </w:rPr>
        <w:t>学校联合邵阳市人力资源社会保障局、团市委开展了“就业扬帆 政策护航”高校毕业生等青年就业创业政策宣传进校园活动。</w:t>
      </w:r>
      <w:r>
        <w:rPr>
          <w:rFonts w:hint="eastAsia" w:eastAsia="宋体" w:cs="Times New Roman"/>
          <w:b/>
          <w:bCs/>
          <w:sz w:val="28"/>
          <w:szCs w:val="28"/>
          <w:lang w:val="en-US" w:eastAsia="zh-CN"/>
        </w:rPr>
        <w:t>二是</w:t>
      </w:r>
      <w:r>
        <w:rPr>
          <w:rFonts w:hint="eastAsia" w:eastAsia="宋体" w:cs="Times New Roman"/>
          <w:sz w:val="28"/>
          <w:szCs w:val="28"/>
          <w:lang w:val="en-US" w:eastAsia="zh-CN"/>
        </w:rPr>
        <w:t>联合邵阳市就业服务中心开展了2023年</w:t>
      </w:r>
      <w:r>
        <w:rPr>
          <w:rFonts w:hint="default" w:eastAsia="宋体" w:cs="Times New Roman"/>
          <w:sz w:val="28"/>
          <w:szCs w:val="28"/>
          <w:lang w:val="en-US" w:eastAsia="zh-CN"/>
        </w:rPr>
        <w:t>“就业指导进校园”、“创业服务进校园”高校毕业生就业服务活动</w:t>
      </w:r>
      <w:r>
        <w:rPr>
          <w:rFonts w:hint="eastAsia" w:eastAsia="宋体" w:cs="Times New Roman"/>
          <w:sz w:val="28"/>
          <w:szCs w:val="28"/>
          <w:lang w:val="en-US" w:eastAsia="zh-CN"/>
        </w:rPr>
        <w:t>。</w:t>
      </w:r>
      <w:r>
        <w:rPr>
          <w:rFonts w:hint="eastAsia" w:eastAsia="宋体" w:cs="Times New Roman"/>
          <w:b/>
          <w:bCs/>
          <w:sz w:val="28"/>
          <w:szCs w:val="28"/>
          <w:lang w:val="en-US" w:eastAsia="zh-CN"/>
        </w:rPr>
        <w:t>三是</w:t>
      </w:r>
      <w:r>
        <w:rPr>
          <w:rFonts w:hint="eastAsia" w:eastAsia="宋体" w:cs="Times New Roman"/>
          <w:sz w:val="28"/>
          <w:szCs w:val="28"/>
          <w:lang w:val="en-US" w:eastAsia="zh-CN"/>
        </w:rPr>
        <w:t>联合邵阳市退役军人事务局在我校召开退役军人就业工作研讨会，针对我校961名退役军人开展就业指导与帮扶工作。</w:t>
      </w:r>
      <w:r>
        <w:rPr>
          <w:rFonts w:hint="eastAsia" w:eastAsia="宋体" w:cs="Times New Roman"/>
          <w:b/>
          <w:bCs/>
          <w:sz w:val="28"/>
          <w:szCs w:val="28"/>
          <w:lang w:val="en-US" w:eastAsia="zh-CN"/>
        </w:rPr>
        <w:t>四是</w:t>
      </w:r>
      <w:r>
        <w:rPr>
          <w:rFonts w:hint="eastAsia" w:eastAsia="宋体" w:cs="Times New Roman"/>
          <w:sz w:val="28"/>
          <w:szCs w:val="28"/>
          <w:lang w:val="en-US" w:eastAsia="zh-CN"/>
        </w:rPr>
        <w:t>联合邵阳本地企业家开展“讲好就业创业故事 传递青春榜样力量暨企业家进校园”系列活动五场。这些活动与就业创业指导课程教育融合在一块，帮助学生转变就业创业观念，增强就业创业技巧，提高就业创业综合竞争力。</w:t>
      </w:r>
    </w:p>
    <w:p>
      <w:pPr>
        <w:numPr>
          <w:ilvl w:val="0"/>
          <w:numId w:val="0"/>
        </w:numPr>
        <w:spacing w:line="580" w:lineRule="exact"/>
        <w:ind w:firstLine="562" w:firstLineChars="200"/>
        <w:rPr>
          <w:rFonts w:hint="default" w:ascii="宋体" w:hAnsi="宋体" w:eastAsia="宋体" w:cs="宋体"/>
          <w:b/>
          <w:bCs w:val="0"/>
          <w:kern w:val="0"/>
          <w:sz w:val="28"/>
          <w:szCs w:val="28"/>
          <w:lang w:val="en-US" w:eastAsia="zh-CN" w:bidi="ar-SA"/>
        </w:rPr>
      </w:pPr>
      <w:r>
        <w:rPr>
          <w:rFonts w:hint="eastAsia" w:ascii="宋体" w:hAnsi="宋体" w:eastAsia="宋体" w:cs="宋体"/>
          <w:b/>
          <w:bCs w:val="0"/>
          <w:kern w:val="0"/>
          <w:sz w:val="28"/>
          <w:szCs w:val="28"/>
          <w:lang w:val="en-US" w:eastAsia="zh-CN" w:bidi="ar-SA"/>
        </w:rPr>
        <w:t>3.</w:t>
      </w:r>
      <w:r>
        <w:rPr>
          <w:rFonts w:hint="eastAsia" w:ascii="仿宋" w:hAnsi="仿宋" w:eastAsia="仿宋" w:cs="仿宋"/>
          <w:b/>
          <w:bCs/>
          <w:sz w:val="32"/>
          <w:szCs w:val="32"/>
          <w:lang w:val="en-US" w:eastAsia="zh-CN"/>
        </w:rPr>
        <w:t>多措并举做好就业指导与服务</w:t>
      </w:r>
    </w:p>
    <w:p>
      <w:pPr>
        <w:ind w:firstLine="562" w:firstLineChars="200"/>
        <w:jc w:val="left"/>
        <w:rPr>
          <w:rFonts w:hint="eastAsia" w:ascii="仿宋" w:hAnsi="仿宋" w:eastAsia="仿宋" w:cs="仿宋"/>
          <w:b/>
          <w:bCs/>
          <w:kern w:val="2"/>
          <w:sz w:val="32"/>
          <w:szCs w:val="32"/>
          <w:lang w:val="en-US" w:eastAsia="zh-CN" w:bidi="ar-SA"/>
        </w:rPr>
      </w:pPr>
      <w:r>
        <w:rPr>
          <w:rFonts w:hint="eastAsia" w:eastAsia="宋体" w:cs="Times New Roman"/>
          <w:b/>
          <w:bCs/>
          <w:sz w:val="28"/>
          <w:szCs w:val="28"/>
          <w:lang w:val="en-US" w:eastAsia="zh-CN"/>
        </w:rPr>
        <w:t>一是</w:t>
      </w:r>
      <w:r>
        <w:rPr>
          <w:rFonts w:hint="eastAsia" w:eastAsia="宋体" w:cs="Times New Roman"/>
          <w:sz w:val="28"/>
          <w:szCs w:val="28"/>
          <w:lang w:val="en-US" w:eastAsia="zh-CN"/>
        </w:rPr>
        <w:t>扎实做好毕业生招聘会工作。</w:t>
      </w:r>
      <w:r>
        <w:rPr>
          <w:rFonts w:hint="eastAsia" w:cs="Times New Roman"/>
          <w:sz w:val="28"/>
          <w:szCs w:val="28"/>
          <w:lang w:val="en-US" w:eastAsia="zh-CN"/>
        </w:rPr>
        <w:t>2022年9月以来</w:t>
      </w:r>
      <w:r>
        <w:rPr>
          <w:rFonts w:hint="eastAsia" w:eastAsia="宋体" w:cs="Times New Roman"/>
          <w:sz w:val="28"/>
          <w:szCs w:val="28"/>
          <w:lang w:val="en-US" w:eastAsia="zh-CN"/>
        </w:rPr>
        <w:t>，我校共计举办线上线下招</w:t>
      </w:r>
      <w:r>
        <w:rPr>
          <w:rFonts w:hint="eastAsia" w:eastAsia="宋体" w:cs="Times New Roman"/>
          <w:sz w:val="28"/>
          <w:szCs w:val="28"/>
          <w:highlight w:val="none"/>
          <w:lang w:val="en-US" w:eastAsia="zh-CN"/>
        </w:rPr>
        <w:t>聘会2</w:t>
      </w:r>
      <w:r>
        <w:rPr>
          <w:rFonts w:hint="eastAsia" w:cs="Times New Roman"/>
          <w:sz w:val="28"/>
          <w:szCs w:val="28"/>
          <w:highlight w:val="none"/>
          <w:lang w:val="en-US" w:eastAsia="zh-CN"/>
        </w:rPr>
        <w:t>5</w:t>
      </w:r>
      <w:r>
        <w:rPr>
          <w:rFonts w:hint="eastAsia" w:eastAsia="宋体" w:cs="Times New Roman"/>
          <w:sz w:val="28"/>
          <w:szCs w:val="28"/>
          <w:highlight w:val="none"/>
          <w:lang w:val="en-US" w:eastAsia="zh-CN"/>
        </w:rPr>
        <w:t>场，其中线下17场、线上</w:t>
      </w:r>
      <w:r>
        <w:rPr>
          <w:rFonts w:hint="eastAsia" w:cs="Times New Roman"/>
          <w:sz w:val="28"/>
          <w:szCs w:val="28"/>
          <w:highlight w:val="none"/>
          <w:lang w:val="en-US" w:eastAsia="zh-CN"/>
        </w:rPr>
        <w:t>8</w:t>
      </w:r>
      <w:r>
        <w:rPr>
          <w:rFonts w:hint="eastAsia" w:eastAsia="宋体" w:cs="Times New Roman"/>
          <w:sz w:val="28"/>
          <w:szCs w:val="28"/>
          <w:highlight w:val="none"/>
          <w:lang w:val="en-US" w:eastAsia="zh-CN"/>
        </w:rPr>
        <w:t>场，参加招聘单位</w:t>
      </w:r>
      <w:r>
        <w:rPr>
          <w:rFonts w:hint="eastAsia" w:cs="Times New Roman"/>
          <w:sz w:val="28"/>
          <w:szCs w:val="28"/>
          <w:highlight w:val="none"/>
          <w:lang w:val="en-US" w:eastAsia="zh-CN"/>
        </w:rPr>
        <w:t>429</w:t>
      </w:r>
      <w:r>
        <w:rPr>
          <w:rFonts w:hint="eastAsia" w:eastAsia="宋体" w:cs="Times New Roman"/>
          <w:sz w:val="28"/>
          <w:szCs w:val="28"/>
          <w:highlight w:val="none"/>
          <w:lang w:val="en-US" w:eastAsia="zh-CN"/>
        </w:rPr>
        <w:t>家，提供就业岗位</w:t>
      </w:r>
      <w:r>
        <w:rPr>
          <w:rFonts w:hint="eastAsia" w:cs="Times New Roman"/>
          <w:sz w:val="28"/>
          <w:szCs w:val="28"/>
          <w:highlight w:val="none"/>
          <w:lang w:val="en-US" w:eastAsia="zh-CN"/>
        </w:rPr>
        <w:t>15025</w:t>
      </w:r>
      <w:r>
        <w:rPr>
          <w:rFonts w:hint="eastAsia" w:eastAsia="宋体" w:cs="Times New Roman"/>
          <w:sz w:val="28"/>
          <w:szCs w:val="28"/>
          <w:highlight w:val="none"/>
          <w:lang w:val="en-US" w:eastAsia="zh-CN"/>
        </w:rPr>
        <w:t>个，</w:t>
      </w:r>
      <w:r>
        <w:rPr>
          <w:rFonts w:hint="eastAsia" w:eastAsia="宋体" w:cs="Times New Roman"/>
          <w:sz w:val="28"/>
          <w:szCs w:val="28"/>
          <w:lang w:val="en-US" w:eastAsia="zh-CN"/>
        </w:rPr>
        <w:t>毕业生达成就业意向</w:t>
      </w:r>
      <w:r>
        <w:rPr>
          <w:rFonts w:hint="eastAsia" w:cs="Times New Roman"/>
          <w:sz w:val="28"/>
          <w:szCs w:val="28"/>
          <w:lang w:val="en-US" w:eastAsia="zh-CN"/>
        </w:rPr>
        <w:t>3182</w:t>
      </w:r>
      <w:r>
        <w:rPr>
          <w:rFonts w:hint="eastAsia" w:eastAsia="宋体" w:cs="Times New Roman"/>
          <w:sz w:val="28"/>
          <w:szCs w:val="28"/>
          <w:lang w:val="en-US" w:eastAsia="zh-CN"/>
        </w:rPr>
        <w:t>人。</w:t>
      </w:r>
      <w:r>
        <w:rPr>
          <w:rFonts w:hint="eastAsia" w:eastAsia="宋体" w:cs="Times New Roman"/>
          <w:b/>
          <w:bCs/>
          <w:sz w:val="28"/>
          <w:szCs w:val="28"/>
          <w:lang w:val="en-US" w:eastAsia="zh-CN"/>
        </w:rPr>
        <w:t>二是</w:t>
      </w:r>
      <w:r>
        <w:rPr>
          <w:rFonts w:hint="eastAsia" w:eastAsia="宋体" w:cs="Times New Roman"/>
          <w:sz w:val="28"/>
          <w:szCs w:val="28"/>
          <w:lang w:val="en-US" w:eastAsia="zh-CN"/>
        </w:rPr>
        <w:t>加强就业教育和观念引导。举办内容多样的讲座和线下活动，“职引未来”主题</w:t>
      </w:r>
      <w:r>
        <w:rPr>
          <w:rFonts w:hint="eastAsia" w:cs="Times New Roman"/>
          <w:sz w:val="28"/>
          <w:szCs w:val="28"/>
          <w:lang w:val="en-US" w:eastAsia="zh-CN"/>
        </w:rPr>
        <w:t>求</w:t>
      </w:r>
      <w:r>
        <w:rPr>
          <w:rFonts w:hint="eastAsia" w:eastAsia="宋体" w:cs="Times New Roman"/>
          <w:sz w:val="28"/>
          <w:szCs w:val="28"/>
          <w:lang w:val="en-US" w:eastAsia="zh-CN"/>
        </w:rPr>
        <w:t>职创业宣讲会2场、求职避“坑”指南——学生安全就业指导课，举办了2023级新生职业生涯规划专题讲座，线上线下参与人数达4000余人，直播浏览量达29.1万人次。坚持“以赛促学、以赛促教、以赛促创”的理念，举办了学校首届“勇往职前”学生简历制作大赛、组织学生参加“首届全国大学生职业规划大赛”，大学生科技创新创业大赛、“创青春”青年创新创业大赛、黄炎培创业创新大赛、“互联网+”大学生创新创业大赛、大学生“挑战杯”创业计划竞赛等，不断提升学生创新、创业、创意的“三创”能力。</w:t>
      </w:r>
      <w:r>
        <w:rPr>
          <w:rFonts w:hint="eastAsia"/>
          <w:sz w:val="28"/>
          <w:szCs w:val="28"/>
          <w:lang w:val="en-US" w:eastAsia="zh-CN"/>
        </w:rPr>
        <w:t>积极组织学生开展SYB创业培训，2023年共有630名学生参加培训。</w:t>
      </w:r>
      <w:r>
        <w:rPr>
          <w:rFonts w:hint="eastAsia" w:eastAsia="宋体" w:cs="Times New Roman"/>
          <w:b/>
          <w:bCs/>
          <w:sz w:val="28"/>
          <w:szCs w:val="28"/>
          <w:lang w:val="en-US" w:eastAsia="zh-CN"/>
        </w:rPr>
        <w:t>三是</w:t>
      </w:r>
      <w:r>
        <w:rPr>
          <w:rFonts w:hint="eastAsia" w:eastAsia="宋体" w:cs="Times New Roman"/>
          <w:sz w:val="28"/>
          <w:szCs w:val="28"/>
          <w:lang w:val="en-US" w:eastAsia="zh-CN"/>
        </w:rPr>
        <w:t>加强生涯教育和就业指导。</w:t>
      </w:r>
      <w:r>
        <w:rPr>
          <w:rFonts w:hint="eastAsia" w:cs="Times New Roman"/>
          <w:sz w:val="28"/>
          <w:szCs w:val="28"/>
          <w:lang w:val="en-US" w:eastAsia="zh-CN"/>
        </w:rPr>
        <w:t>加强</w:t>
      </w:r>
      <w:r>
        <w:rPr>
          <w:rFonts w:hint="eastAsia" w:eastAsia="宋体" w:cs="Times New Roman"/>
          <w:sz w:val="28"/>
          <w:szCs w:val="28"/>
          <w:lang w:val="en-US" w:eastAsia="zh-CN"/>
        </w:rPr>
        <w:t>就业创业教研室</w:t>
      </w:r>
      <w:r>
        <w:rPr>
          <w:rFonts w:hint="eastAsia" w:cs="Times New Roman"/>
          <w:sz w:val="28"/>
          <w:szCs w:val="28"/>
          <w:lang w:val="en-US" w:eastAsia="zh-CN"/>
        </w:rPr>
        <w:t>建设</w:t>
      </w:r>
      <w:r>
        <w:rPr>
          <w:rFonts w:hint="eastAsia" w:eastAsia="宋体" w:cs="Times New Roman"/>
          <w:sz w:val="28"/>
          <w:szCs w:val="28"/>
          <w:lang w:val="en-US" w:eastAsia="zh-CN"/>
        </w:rPr>
        <w:t>，推动全校各专业将课程建设作为强化就业指导服务的重要内容，作为必修课列入教学计划，给予学时学分保障。强化大学生生涯发展与就业指导课程建设，完善《职业生涯规划与就业指导课》、《创新创业基础》两门课程标准，修订完善人才培养方案。与邵阳市就业服务中心联合开展“就业指导进校园”、“创业服务进校园”活动。持续做好就业指导公益直播课，提供丰富优质课程资源。</w:t>
      </w:r>
      <w:r>
        <w:rPr>
          <w:rFonts w:hint="eastAsia" w:eastAsia="宋体" w:cs="Times New Roman"/>
          <w:b/>
          <w:bCs/>
          <w:sz w:val="28"/>
          <w:szCs w:val="28"/>
          <w:lang w:val="en-US" w:eastAsia="zh-CN"/>
        </w:rPr>
        <w:t>四是</w:t>
      </w:r>
      <w:r>
        <w:rPr>
          <w:rFonts w:hint="eastAsia" w:eastAsia="宋体" w:cs="Times New Roman"/>
          <w:sz w:val="28"/>
          <w:szCs w:val="28"/>
          <w:lang w:val="en-US" w:eastAsia="zh-CN"/>
        </w:rPr>
        <w:t>学校始终坚持征兵工作与就业工作有机结合，作为主责主抓、大事大抓，牢牢抓住高校宣传主阵地,充分发挥班主任、辅导员作用，不漏一人做好思想发动、政策宣讲、答疑解惑。我校学生投身国防建设热情高涨，2023年共85人参军入伍。</w:t>
      </w:r>
      <w:r>
        <w:rPr>
          <w:rFonts w:hint="eastAsia" w:eastAsia="宋体" w:cs="Times New Roman"/>
          <w:b/>
          <w:bCs/>
          <w:sz w:val="28"/>
          <w:szCs w:val="28"/>
          <w:lang w:val="en-US" w:eastAsia="zh-CN"/>
        </w:rPr>
        <w:t>五是</w:t>
      </w:r>
      <w:r>
        <w:rPr>
          <w:rFonts w:hint="eastAsia"/>
          <w:sz w:val="28"/>
          <w:szCs w:val="28"/>
          <w:lang w:val="en-US" w:eastAsia="zh-CN"/>
        </w:rPr>
        <w:t>学校充分利用学校就业信息</w:t>
      </w:r>
      <w:r>
        <w:rPr>
          <w:rFonts w:hint="eastAsia" w:eastAsia="宋体" w:cs="Times New Roman"/>
          <w:sz w:val="28"/>
          <w:szCs w:val="28"/>
          <w:lang w:val="en-US" w:eastAsia="zh-CN"/>
        </w:rPr>
        <w:t>网、微信群、QQ</w:t>
      </w:r>
      <w:r>
        <w:rPr>
          <w:rFonts w:hint="default" w:eastAsia="宋体" w:cs="Times New Roman"/>
          <w:sz w:val="28"/>
          <w:szCs w:val="28"/>
          <w:lang w:val="en-US" w:eastAsia="zh-CN"/>
        </w:rPr>
        <w:t>群、</w:t>
      </w:r>
      <w:r>
        <w:rPr>
          <w:rFonts w:hint="eastAsia" w:eastAsia="宋体" w:cs="Times New Roman"/>
          <w:sz w:val="28"/>
          <w:szCs w:val="28"/>
          <w:lang w:val="en-US" w:eastAsia="zh-CN"/>
        </w:rPr>
        <w:t>国家大学生就业服务平台等</w:t>
      </w:r>
      <w:r>
        <w:rPr>
          <w:rFonts w:hint="default" w:eastAsia="宋体" w:cs="Times New Roman"/>
          <w:sz w:val="28"/>
          <w:szCs w:val="28"/>
          <w:lang w:val="en-US" w:eastAsia="zh-CN"/>
        </w:rPr>
        <w:t>多种媒介及时发布用人单位需求信息</w:t>
      </w:r>
      <w:r>
        <w:rPr>
          <w:rFonts w:hint="eastAsia" w:eastAsia="宋体" w:cs="Times New Roman"/>
          <w:sz w:val="28"/>
          <w:szCs w:val="28"/>
          <w:lang w:val="en-US" w:eastAsia="zh-CN"/>
        </w:rPr>
        <w:t>，为毕业生精准推送就业岗位，提供就</w:t>
      </w:r>
      <w:r>
        <w:rPr>
          <w:rFonts w:hint="eastAsia"/>
          <w:sz w:val="28"/>
          <w:szCs w:val="28"/>
          <w:lang w:val="en-US" w:eastAsia="zh-CN"/>
        </w:rPr>
        <w:t>业创业服务。</w:t>
      </w:r>
      <w:r>
        <w:rPr>
          <w:rFonts w:hint="eastAsia" w:eastAsia="宋体" w:cs="Times New Roman"/>
          <w:b/>
          <w:bCs/>
          <w:sz w:val="28"/>
          <w:szCs w:val="28"/>
          <w:lang w:val="en-US" w:eastAsia="zh-CN"/>
        </w:rPr>
        <w:t>六是</w:t>
      </w:r>
      <w:r>
        <w:rPr>
          <w:rFonts w:hint="eastAsia" w:eastAsia="宋体" w:cs="Times New Roman"/>
          <w:sz w:val="28"/>
          <w:szCs w:val="28"/>
          <w:lang w:val="en-US" w:eastAsia="zh-CN"/>
        </w:rPr>
        <w:t>通过多种方式开展就业创业政策宣传。为做好2023届毕业生就业服务工作，在学院醒目公告栏和官网公布毕业生基层就业政策、自主创业政策、应征入伍政策，宣传国家在学费补偿、资金扶持、税收、升学等方面的优惠举措。</w:t>
      </w:r>
    </w:p>
    <w:p>
      <w:pPr>
        <w:numPr>
          <w:ilvl w:val="0"/>
          <w:numId w:val="14"/>
        </w:numPr>
        <w:spacing w:line="580" w:lineRule="exact"/>
        <w:ind w:firstLine="562" w:firstLineChars="200"/>
        <w:rPr>
          <w:rFonts w:hint="default" w:ascii="宋体" w:hAnsi="宋体" w:eastAsia="宋体" w:cs="宋体"/>
          <w:b/>
          <w:bCs w:val="0"/>
          <w:kern w:val="0"/>
          <w:sz w:val="28"/>
          <w:szCs w:val="28"/>
          <w:lang w:val="en-US" w:eastAsia="zh-CN" w:bidi="ar-SA"/>
        </w:rPr>
      </w:pPr>
      <w:r>
        <w:rPr>
          <w:rFonts w:hint="eastAsia" w:ascii="宋体" w:hAnsi="宋体" w:eastAsia="宋体" w:cs="宋体"/>
          <w:b/>
          <w:bCs w:val="0"/>
          <w:kern w:val="0"/>
          <w:sz w:val="28"/>
          <w:szCs w:val="28"/>
          <w:lang w:val="ru-RU" w:eastAsia="zh-CN" w:bidi="ar-SA"/>
        </w:rPr>
        <w:t>落实政策，</w:t>
      </w:r>
      <w:r>
        <w:rPr>
          <w:rFonts w:hint="eastAsia" w:ascii="宋体" w:hAnsi="宋体" w:eastAsia="宋体" w:cs="宋体"/>
          <w:b/>
          <w:bCs w:val="0"/>
          <w:kern w:val="0"/>
          <w:sz w:val="28"/>
          <w:szCs w:val="28"/>
          <w:lang w:val="en-US" w:eastAsia="zh-CN" w:bidi="ar-SA"/>
        </w:rPr>
        <w:t>精准帮扶</w:t>
      </w:r>
      <w:r>
        <w:rPr>
          <w:rFonts w:hint="eastAsia" w:ascii="宋体" w:hAnsi="宋体" w:eastAsia="宋体" w:cs="宋体"/>
          <w:b/>
          <w:bCs w:val="0"/>
          <w:kern w:val="0"/>
          <w:sz w:val="28"/>
          <w:szCs w:val="28"/>
          <w:lang w:val="ru-RU" w:eastAsia="zh-CN" w:bidi="ar-SA"/>
        </w:rPr>
        <w:t>特殊群体就业创业</w:t>
      </w:r>
    </w:p>
    <w:p>
      <w:pPr>
        <w:ind w:firstLine="562" w:firstLineChars="200"/>
        <w:jc w:val="left"/>
        <w:rPr>
          <w:sz w:val="28"/>
          <w:szCs w:val="28"/>
          <w:lang w:val="ru-RU"/>
        </w:rPr>
      </w:pPr>
      <w:r>
        <w:rPr>
          <w:rFonts w:hint="eastAsia"/>
          <w:b/>
          <w:bCs/>
          <w:sz w:val="28"/>
          <w:szCs w:val="28"/>
          <w:lang w:val="ru-RU"/>
        </w:rPr>
        <w:t>一是</w:t>
      </w:r>
      <w:r>
        <w:rPr>
          <w:rFonts w:hint="eastAsia"/>
          <w:sz w:val="28"/>
          <w:szCs w:val="28"/>
          <w:lang w:val="en-US" w:eastAsia="zh-CN"/>
        </w:rPr>
        <w:t>学校实行了校领导联系二级学院制度，做到了一个校领导联系一个二级学院，全面负责指导所联系二级学院的就业创业工作。</w:t>
      </w:r>
      <w:r>
        <w:rPr>
          <w:rFonts w:hint="eastAsia"/>
          <w:b/>
          <w:bCs/>
          <w:sz w:val="28"/>
          <w:szCs w:val="28"/>
          <w:lang w:val="en-US" w:eastAsia="zh-CN"/>
        </w:rPr>
        <w:t>二</w:t>
      </w:r>
      <w:r>
        <w:rPr>
          <w:rFonts w:hint="eastAsia"/>
          <w:b/>
          <w:bCs/>
          <w:sz w:val="28"/>
          <w:szCs w:val="28"/>
          <w:lang w:val="ru-RU"/>
        </w:rPr>
        <w:t>是</w:t>
      </w:r>
      <w:r>
        <w:rPr>
          <w:rFonts w:hint="eastAsia"/>
          <w:sz w:val="28"/>
          <w:szCs w:val="28"/>
          <w:lang w:val="ru-RU"/>
        </w:rPr>
        <w:t>各</w:t>
      </w:r>
      <w:r>
        <w:rPr>
          <w:rFonts w:hint="eastAsia"/>
          <w:sz w:val="28"/>
          <w:szCs w:val="28"/>
          <w:lang w:val="en-US" w:eastAsia="zh-CN"/>
        </w:rPr>
        <w:t>二级学院</w:t>
      </w:r>
      <w:r>
        <w:rPr>
          <w:rFonts w:hint="eastAsia"/>
          <w:sz w:val="28"/>
          <w:szCs w:val="28"/>
          <w:lang w:val="ru-RU"/>
        </w:rPr>
        <w:t>出台了就业困难学生帮扶措施，开展“一对一”的指导与帮扶。</w:t>
      </w:r>
      <w:r>
        <w:rPr>
          <w:rFonts w:hint="eastAsia"/>
          <w:b/>
          <w:bCs/>
          <w:sz w:val="28"/>
          <w:szCs w:val="28"/>
          <w:lang w:val="en-US" w:eastAsia="zh-CN"/>
        </w:rPr>
        <w:t>三是</w:t>
      </w:r>
      <w:r>
        <w:rPr>
          <w:rFonts w:hint="eastAsia" w:eastAsia="宋体" w:cs="Times New Roman"/>
          <w:sz w:val="28"/>
          <w:szCs w:val="28"/>
          <w:lang w:val="en-US" w:eastAsia="zh-CN"/>
        </w:rPr>
        <w:t>针对有劳动力和就业意愿的</w:t>
      </w:r>
      <w:r>
        <w:rPr>
          <w:rFonts w:hint="eastAsia" w:eastAsia="宋体" w:cs="Times New Roman"/>
          <w:sz w:val="28"/>
          <w:szCs w:val="28"/>
          <w:lang w:val="ru-RU"/>
        </w:rPr>
        <w:t>脱贫家庭（原建档立卡）、低保家庭、零就业家庭、残疾</w:t>
      </w:r>
      <w:r>
        <w:rPr>
          <w:rFonts w:hint="eastAsia" w:eastAsia="宋体" w:cs="Times New Roman"/>
          <w:sz w:val="28"/>
          <w:szCs w:val="28"/>
          <w:lang w:val="en-US" w:eastAsia="zh-CN"/>
        </w:rPr>
        <w:t>等</w:t>
      </w:r>
      <w:r>
        <w:rPr>
          <w:rFonts w:hint="eastAsia" w:eastAsia="宋体" w:cs="Times New Roman"/>
          <w:sz w:val="28"/>
          <w:szCs w:val="28"/>
          <w:highlight w:val="none"/>
          <w:lang w:val="en-US" w:eastAsia="zh-CN"/>
        </w:rPr>
        <w:t>513</w:t>
      </w:r>
      <w:r>
        <w:rPr>
          <w:rFonts w:hint="eastAsia" w:eastAsia="宋体" w:cs="Times New Roman"/>
          <w:sz w:val="28"/>
          <w:szCs w:val="28"/>
          <w:lang w:val="en-US" w:eastAsia="zh-CN"/>
        </w:rPr>
        <w:t>名困难毕业生开展“一对一”帮扶行动，按照“一人一档”“一人一策”建立“一对一”帮扶档案，二级学院指定一名党员干部或专业教师为一名或多名毕业生提供就业指导，至少推荐3次就业岗位等，实现</w:t>
      </w:r>
      <w:r>
        <w:rPr>
          <w:rFonts w:hint="eastAsia"/>
          <w:sz w:val="28"/>
          <w:szCs w:val="28"/>
          <w:lang w:val="en-US" w:eastAsia="zh-CN"/>
        </w:rPr>
        <w:t>有就业意向</w:t>
      </w:r>
      <w:r>
        <w:rPr>
          <w:rFonts w:hint="eastAsia"/>
          <w:sz w:val="28"/>
          <w:szCs w:val="28"/>
          <w:highlight w:val="none"/>
          <w:lang w:val="en-US" w:eastAsia="zh-CN"/>
        </w:rPr>
        <w:t>的困难毕业生</w:t>
      </w:r>
      <w:r>
        <w:rPr>
          <w:rFonts w:hint="eastAsia"/>
          <w:sz w:val="28"/>
          <w:szCs w:val="28"/>
          <w:lang w:val="en-US" w:eastAsia="zh-CN"/>
        </w:rPr>
        <w:t>100%就业。</w:t>
      </w:r>
      <w:r>
        <w:rPr>
          <w:rFonts w:hint="eastAsia"/>
          <w:b/>
          <w:bCs/>
          <w:sz w:val="28"/>
          <w:szCs w:val="28"/>
          <w:lang w:val="en-US" w:eastAsia="zh-CN"/>
        </w:rPr>
        <w:t>四是</w:t>
      </w:r>
      <w:r>
        <w:rPr>
          <w:rFonts w:hint="eastAsia" w:eastAsia="宋体" w:cs="Times New Roman"/>
          <w:sz w:val="28"/>
          <w:szCs w:val="28"/>
          <w:lang w:val="en-US" w:eastAsia="zh-CN"/>
        </w:rPr>
        <w:t>及时了解联系未就业的困难毕业生，开展谈心谈话，提供针对性职业指导和岗位推荐。</w:t>
      </w:r>
      <w:r>
        <w:rPr>
          <w:rFonts w:hint="eastAsia" w:eastAsia="宋体" w:cs="Times New Roman"/>
          <w:b/>
          <w:bCs/>
          <w:sz w:val="28"/>
          <w:szCs w:val="28"/>
          <w:lang w:val="en-US" w:eastAsia="zh-CN"/>
        </w:rPr>
        <w:t>五是</w:t>
      </w:r>
      <w:r>
        <w:rPr>
          <w:rFonts w:hint="eastAsia" w:eastAsia="宋体" w:cs="Times New Roman"/>
          <w:sz w:val="28"/>
          <w:szCs w:val="28"/>
          <w:lang w:val="en-US" w:eastAsia="zh-CN"/>
        </w:rPr>
        <w:t>学校为</w:t>
      </w:r>
      <w:r>
        <w:rPr>
          <w:rFonts w:hint="eastAsia" w:cs="Times New Roman"/>
          <w:sz w:val="28"/>
          <w:szCs w:val="28"/>
          <w:lang w:val="en-US" w:eastAsia="zh-CN"/>
        </w:rPr>
        <w:t>符合申报条件的就业</w:t>
      </w:r>
      <w:r>
        <w:rPr>
          <w:rFonts w:hint="eastAsia" w:eastAsia="宋体" w:cs="Times New Roman"/>
          <w:sz w:val="28"/>
          <w:szCs w:val="28"/>
          <w:lang w:val="en-US" w:eastAsia="zh-CN"/>
        </w:rPr>
        <w:t>创业困难大学生申请</w:t>
      </w:r>
      <w:r>
        <w:rPr>
          <w:rFonts w:hint="eastAsia" w:cs="Times New Roman"/>
          <w:sz w:val="28"/>
          <w:szCs w:val="28"/>
          <w:lang w:val="en-US" w:eastAsia="zh-CN"/>
        </w:rPr>
        <w:t>求职</w:t>
      </w:r>
      <w:r>
        <w:rPr>
          <w:rFonts w:hint="eastAsia" w:eastAsia="宋体" w:cs="Times New Roman"/>
          <w:sz w:val="28"/>
          <w:szCs w:val="28"/>
          <w:lang w:val="en-US" w:eastAsia="zh-CN"/>
        </w:rPr>
        <w:t>创业补贴，</w:t>
      </w:r>
      <w:r>
        <w:rPr>
          <w:rFonts w:hint="eastAsia"/>
          <w:sz w:val="28"/>
          <w:szCs w:val="28"/>
          <w:lang w:val="en-US" w:eastAsia="zh-CN"/>
        </w:rPr>
        <w:t>2023届毕业生中有453人申请了补助，共计679500元。</w:t>
      </w:r>
      <w:bookmarkStart w:id="0" w:name="_GoBack"/>
      <w:bookmarkEnd w:id="0"/>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I</w:t>
                          </w:r>
                          <w:r>
                            <w:fldChar w:fldCharType="end"/>
                          </w:r>
                        </w:p>
                      </w:txbxContent>
                    </wps:txbx>
                    <wps:bodyPr vert="horz" wrap="none" lIns="0" tIns="0" rIns="0" bIns="0" anchor="t" anchorCtr="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AGClCn4QEAAMEDAAAOAAAA&#10;AAAAAAEAIAAAAB4BAABkcnMvZTJvRG9jLnhtbFBLBQYAAAAABgAGAFkBAABx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t xml:space="preserve">— </w:t>
                          </w:r>
                          <w:r>
                            <w:fldChar w:fldCharType="begin"/>
                          </w:r>
                          <w:r>
                            <w:instrText xml:space="preserve"> PAGE  \* MERGEFORMAT </w:instrText>
                          </w:r>
                          <w:r>
                            <w:fldChar w:fldCharType="separate"/>
                          </w:r>
                          <w:r>
                            <w:t>I</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CXQRuu4QEAAMEDAAAOAAAA&#10;AAAAAAEAIAAAAB4BAABkcnMvZTJvRG9jLnhtbFBLBQYAAAAABgAGAFkBAABxBQAAAAA=&#10;">
              <v:fill on="f" focussize="0,0"/>
              <v:stroke on="f"/>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I</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811B3"/>
    <w:multiLevelType w:val="singleLevel"/>
    <w:tmpl w:val="9BD811B3"/>
    <w:lvl w:ilvl="0" w:tentative="0">
      <w:start w:val="1"/>
      <w:numFmt w:val="chineseCounting"/>
      <w:suff w:val="nothing"/>
      <w:lvlText w:val="（%1）"/>
      <w:lvlJc w:val="left"/>
      <w:rPr>
        <w:rFonts w:hint="eastAsia"/>
      </w:rPr>
    </w:lvl>
  </w:abstractNum>
  <w:abstractNum w:abstractNumId="1">
    <w:nsid w:val="A859B67E"/>
    <w:multiLevelType w:val="singleLevel"/>
    <w:tmpl w:val="A859B67E"/>
    <w:lvl w:ilvl="0" w:tentative="0">
      <w:start w:val="1"/>
      <w:numFmt w:val="chineseCounting"/>
      <w:suff w:val="nothing"/>
      <w:lvlText w:val="%1、"/>
      <w:lvlJc w:val="left"/>
      <w:rPr>
        <w:rFonts w:hint="eastAsia"/>
      </w:rPr>
    </w:lvl>
  </w:abstractNum>
  <w:abstractNum w:abstractNumId="2">
    <w:nsid w:val="BECB7DE4"/>
    <w:multiLevelType w:val="singleLevel"/>
    <w:tmpl w:val="BECB7DE4"/>
    <w:lvl w:ilvl="0" w:tentative="0">
      <w:start w:val="1"/>
      <w:numFmt w:val="chineseCounting"/>
      <w:suff w:val="space"/>
      <w:lvlText w:val="第%1章"/>
      <w:lvlJc w:val="left"/>
      <w:rPr>
        <w:rFonts w:hint="eastAsia"/>
      </w:rPr>
    </w:lvl>
  </w:abstractNum>
  <w:abstractNum w:abstractNumId="3">
    <w:nsid w:val="D46B6CA5"/>
    <w:multiLevelType w:val="singleLevel"/>
    <w:tmpl w:val="D46B6CA5"/>
    <w:lvl w:ilvl="0" w:tentative="0">
      <w:start w:val="3"/>
      <w:numFmt w:val="chineseCounting"/>
      <w:suff w:val="space"/>
      <w:lvlText w:val="第%1章"/>
      <w:lvlJc w:val="left"/>
      <w:rPr>
        <w:rFonts w:hint="eastAsia"/>
      </w:rPr>
    </w:lvl>
  </w:abstractNum>
  <w:abstractNum w:abstractNumId="4">
    <w:nsid w:val="EA574250"/>
    <w:multiLevelType w:val="singleLevel"/>
    <w:tmpl w:val="EA574250"/>
    <w:lvl w:ilvl="0" w:tentative="0">
      <w:start w:val="2"/>
      <w:numFmt w:val="chineseCounting"/>
      <w:suff w:val="nothing"/>
      <w:lvlText w:val="（%1）"/>
      <w:lvlJc w:val="left"/>
      <w:rPr>
        <w:rFonts w:hint="eastAsia"/>
      </w:rPr>
    </w:lvl>
  </w:abstractNum>
  <w:abstractNum w:abstractNumId="5">
    <w:nsid w:val="F083C15D"/>
    <w:multiLevelType w:val="singleLevel"/>
    <w:tmpl w:val="F083C15D"/>
    <w:lvl w:ilvl="0" w:tentative="0">
      <w:start w:val="1"/>
      <w:numFmt w:val="chineseCounting"/>
      <w:suff w:val="nothing"/>
      <w:lvlText w:val="（%1）"/>
      <w:lvlJc w:val="left"/>
      <w:rPr>
        <w:rFonts w:hint="eastAsia"/>
      </w:rPr>
    </w:lvl>
  </w:abstractNum>
  <w:abstractNum w:abstractNumId="6">
    <w:nsid w:val="F4F2084C"/>
    <w:multiLevelType w:val="singleLevel"/>
    <w:tmpl w:val="F4F2084C"/>
    <w:lvl w:ilvl="0" w:tentative="0">
      <w:start w:val="1"/>
      <w:numFmt w:val="chineseCounting"/>
      <w:suff w:val="nothing"/>
      <w:lvlText w:val="（%1）"/>
      <w:lvlJc w:val="left"/>
      <w:rPr>
        <w:rFonts w:hint="eastAsia"/>
      </w:rPr>
    </w:lvl>
  </w:abstractNum>
  <w:abstractNum w:abstractNumId="7">
    <w:nsid w:val="F6E1CBAC"/>
    <w:multiLevelType w:val="singleLevel"/>
    <w:tmpl w:val="F6E1CBAC"/>
    <w:lvl w:ilvl="0" w:tentative="0">
      <w:start w:val="1"/>
      <w:numFmt w:val="chineseCounting"/>
      <w:suff w:val="nothing"/>
      <w:lvlText w:val="（%1）"/>
      <w:lvlJc w:val="left"/>
      <w:rPr>
        <w:rFonts w:hint="eastAsia"/>
      </w:rPr>
    </w:lvl>
  </w:abstractNum>
  <w:abstractNum w:abstractNumId="8">
    <w:nsid w:val="FB4DE228"/>
    <w:multiLevelType w:val="singleLevel"/>
    <w:tmpl w:val="FB4DE228"/>
    <w:lvl w:ilvl="0" w:tentative="0">
      <w:start w:val="1"/>
      <w:numFmt w:val="chineseCounting"/>
      <w:suff w:val="nothing"/>
      <w:lvlText w:val="（%1）"/>
      <w:lvlJc w:val="left"/>
      <w:rPr>
        <w:rFonts w:hint="eastAsia"/>
      </w:rPr>
    </w:lvl>
  </w:abstractNum>
  <w:abstractNum w:abstractNumId="9">
    <w:nsid w:val="FD86DC75"/>
    <w:multiLevelType w:val="singleLevel"/>
    <w:tmpl w:val="FD86DC75"/>
    <w:lvl w:ilvl="0" w:tentative="0">
      <w:start w:val="1"/>
      <w:numFmt w:val="chineseCounting"/>
      <w:suff w:val="nothing"/>
      <w:lvlText w:val="（%1）"/>
      <w:lvlJc w:val="left"/>
      <w:rPr>
        <w:rFonts w:hint="eastAsia"/>
      </w:rPr>
    </w:lvl>
  </w:abstractNum>
  <w:abstractNum w:abstractNumId="10">
    <w:nsid w:val="19457AEB"/>
    <w:multiLevelType w:val="singleLevel"/>
    <w:tmpl w:val="19457AEB"/>
    <w:lvl w:ilvl="0" w:tentative="0">
      <w:start w:val="3"/>
      <w:numFmt w:val="decimal"/>
      <w:lvlText w:val="%1."/>
      <w:lvlJc w:val="left"/>
      <w:pPr>
        <w:tabs>
          <w:tab w:val="left" w:pos="312"/>
        </w:tabs>
      </w:pPr>
    </w:lvl>
  </w:abstractNum>
  <w:abstractNum w:abstractNumId="11">
    <w:nsid w:val="3F71B729"/>
    <w:multiLevelType w:val="singleLevel"/>
    <w:tmpl w:val="3F71B729"/>
    <w:lvl w:ilvl="0" w:tentative="0">
      <w:start w:val="1"/>
      <w:numFmt w:val="chineseCounting"/>
      <w:suff w:val="nothing"/>
      <w:lvlText w:val="%1、"/>
      <w:lvlJc w:val="left"/>
      <w:pPr>
        <w:ind w:left="840"/>
      </w:pPr>
      <w:rPr>
        <w:rFonts w:hint="eastAsia"/>
      </w:rPr>
    </w:lvl>
  </w:abstractNum>
  <w:abstractNum w:abstractNumId="12">
    <w:nsid w:val="52AE9FAC"/>
    <w:multiLevelType w:val="singleLevel"/>
    <w:tmpl w:val="52AE9FAC"/>
    <w:lvl w:ilvl="0" w:tentative="0">
      <w:start w:val="1"/>
      <w:numFmt w:val="decimal"/>
      <w:lvlText w:val="%1."/>
      <w:lvlJc w:val="left"/>
      <w:pPr>
        <w:tabs>
          <w:tab w:val="left" w:pos="312"/>
        </w:tabs>
      </w:pPr>
    </w:lvl>
  </w:abstractNum>
  <w:abstractNum w:abstractNumId="13">
    <w:nsid w:val="6319CFAD"/>
    <w:multiLevelType w:val="singleLevel"/>
    <w:tmpl w:val="6319CFAD"/>
    <w:lvl w:ilvl="0" w:tentative="0">
      <w:start w:val="1"/>
      <w:numFmt w:val="chineseCounting"/>
      <w:suff w:val="nothing"/>
      <w:lvlText w:val="%1、"/>
      <w:lvlJc w:val="left"/>
      <w:rPr>
        <w:rFonts w:hint="eastAsia"/>
      </w:rPr>
    </w:lvl>
  </w:abstractNum>
  <w:num w:numId="1">
    <w:abstractNumId w:val="2"/>
  </w:num>
  <w:num w:numId="2">
    <w:abstractNumId w:val="11"/>
  </w:num>
  <w:num w:numId="3">
    <w:abstractNumId w:val="4"/>
  </w:num>
  <w:num w:numId="4">
    <w:abstractNumId w:val="10"/>
  </w:num>
  <w:num w:numId="5">
    <w:abstractNumId w:val="6"/>
  </w:num>
  <w:num w:numId="6">
    <w:abstractNumId w:val="0"/>
  </w:num>
  <w:num w:numId="7">
    <w:abstractNumId w:val="3"/>
  </w:num>
  <w:num w:numId="8">
    <w:abstractNumId w:val="7"/>
  </w:num>
  <w:num w:numId="9">
    <w:abstractNumId w:val="12"/>
  </w:num>
  <w:num w:numId="10">
    <w:abstractNumId w:val="9"/>
  </w:num>
  <w:num w:numId="11">
    <w:abstractNumId w:val="8"/>
  </w:num>
  <w:num w:numId="12">
    <w:abstractNumId w:val="13"/>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1N2VhOGNlNTVhM2FlZGM0YWE1YWM3M2Y3NTIyNjYifQ=="/>
    <w:docVar w:name="KSO_WPS_MARK_KEY" w:val="73981220-7dac-47d3-a2d6-1661c5afc580"/>
  </w:docVars>
  <w:rsids>
    <w:rsidRoot w:val="002B746E"/>
    <w:rsid w:val="00005402"/>
    <w:rsid w:val="00012789"/>
    <w:rsid w:val="00025352"/>
    <w:rsid w:val="00031970"/>
    <w:rsid w:val="00043070"/>
    <w:rsid w:val="00046CA0"/>
    <w:rsid w:val="000534DA"/>
    <w:rsid w:val="00060B10"/>
    <w:rsid w:val="00095868"/>
    <w:rsid w:val="000B2A39"/>
    <w:rsid w:val="000C0568"/>
    <w:rsid w:val="000C69D0"/>
    <w:rsid w:val="000C7F77"/>
    <w:rsid w:val="000D11C0"/>
    <w:rsid w:val="000D7CC4"/>
    <w:rsid w:val="000E6984"/>
    <w:rsid w:val="000F0F3A"/>
    <w:rsid w:val="000F1970"/>
    <w:rsid w:val="000F3ADE"/>
    <w:rsid w:val="000F74D4"/>
    <w:rsid w:val="00101AE9"/>
    <w:rsid w:val="00103B03"/>
    <w:rsid w:val="001310E6"/>
    <w:rsid w:val="0013730B"/>
    <w:rsid w:val="00142B3D"/>
    <w:rsid w:val="00144C57"/>
    <w:rsid w:val="00147BD6"/>
    <w:rsid w:val="00164279"/>
    <w:rsid w:val="00165587"/>
    <w:rsid w:val="00167684"/>
    <w:rsid w:val="00167FC9"/>
    <w:rsid w:val="001720E8"/>
    <w:rsid w:val="001769A2"/>
    <w:rsid w:val="0018074B"/>
    <w:rsid w:val="00186356"/>
    <w:rsid w:val="00190002"/>
    <w:rsid w:val="001966D2"/>
    <w:rsid w:val="001A027E"/>
    <w:rsid w:val="001C188C"/>
    <w:rsid w:val="001C7116"/>
    <w:rsid w:val="001C76D8"/>
    <w:rsid w:val="001D589A"/>
    <w:rsid w:val="001E003E"/>
    <w:rsid w:val="001E40EB"/>
    <w:rsid w:val="001F3515"/>
    <w:rsid w:val="0020136B"/>
    <w:rsid w:val="00202BF9"/>
    <w:rsid w:val="00210058"/>
    <w:rsid w:val="00214FB0"/>
    <w:rsid w:val="002214C0"/>
    <w:rsid w:val="002275FE"/>
    <w:rsid w:val="00234F58"/>
    <w:rsid w:val="00240705"/>
    <w:rsid w:val="002428AC"/>
    <w:rsid w:val="0025010B"/>
    <w:rsid w:val="00264A99"/>
    <w:rsid w:val="00274037"/>
    <w:rsid w:val="00284182"/>
    <w:rsid w:val="00287C75"/>
    <w:rsid w:val="00292211"/>
    <w:rsid w:val="002A69BD"/>
    <w:rsid w:val="002B746E"/>
    <w:rsid w:val="002D2AA6"/>
    <w:rsid w:val="002D63D7"/>
    <w:rsid w:val="002E4ABE"/>
    <w:rsid w:val="002E771F"/>
    <w:rsid w:val="002F1102"/>
    <w:rsid w:val="002F1D55"/>
    <w:rsid w:val="00300919"/>
    <w:rsid w:val="00302A4B"/>
    <w:rsid w:val="00310039"/>
    <w:rsid w:val="00327661"/>
    <w:rsid w:val="003356CD"/>
    <w:rsid w:val="0033717A"/>
    <w:rsid w:val="00347B70"/>
    <w:rsid w:val="0035146F"/>
    <w:rsid w:val="00351550"/>
    <w:rsid w:val="00352810"/>
    <w:rsid w:val="00356FBD"/>
    <w:rsid w:val="003733CC"/>
    <w:rsid w:val="00382F07"/>
    <w:rsid w:val="00386A8D"/>
    <w:rsid w:val="00392B79"/>
    <w:rsid w:val="00395D1F"/>
    <w:rsid w:val="003A0CF7"/>
    <w:rsid w:val="003A501D"/>
    <w:rsid w:val="003B3C3D"/>
    <w:rsid w:val="003B5E41"/>
    <w:rsid w:val="003C211C"/>
    <w:rsid w:val="003C2956"/>
    <w:rsid w:val="003F0B81"/>
    <w:rsid w:val="003F34D3"/>
    <w:rsid w:val="003F6A08"/>
    <w:rsid w:val="00402BAA"/>
    <w:rsid w:val="00413A9B"/>
    <w:rsid w:val="00424E53"/>
    <w:rsid w:val="00433A03"/>
    <w:rsid w:val="00434460"/>
    <w:rsid w:val="004467BA"/>
    <w:rsid w:val="00457E0B"/>
    <w:rsid w:val="00464B7D"/>
    <w:rsid w:val="00466AD8"/>
    <w:rsid w:val="00467A3E"/>
    <w:rsid w:val="00472023"/>
    <w:rsid w:val="0049324A"/>
    <w:rsid w:val="00495DDF"/>
    <w:rsid w:val="004A093B"/>
    <w:rsid w:val="004B0E84"/>
    <w:rsid w:val="004C3DFD"/>
    <w:rsid w:val="004C4546"/>
    <w:rsid w:val="004C795D"/>
    <w:rsid w:val="004C7D90"/>
    <w:rsid w:val="004D066F"/>
    <w:rsid w:val="004E034F"/>
    <w:rsid w:val="004E1DB8"/>
    <w:rsid w:val="004E2AC5"/>
    <w:rsid w:val="004F45DD"/>
    <w:rsid w:val="004F76EB"/>
    <w:rsid w:val="00500138"/>
    <w:rsid w:val="00513BEB"/>
    <w:rsid w:val="00516F4C"/>
    <w:rsid w:val="005276C6"/>
    <w:rsid w:val="00530EBE"/>
    <w:rsid w:val="00535090"/>
    <w:rsid w:val="005361F8"/>
    <w:rsid w:val="00545D65"/>
    <w:rsid w:val="00557258"/>
    <w:rsid w:val="00561A3C"/>
    <w:rsid w:val="00572F4E"/>
    <w:rsid w:val="00575912"/>
    <w:rsid w:val="00575EFE"/>
    <w:rsid w:val="00581097"/>
    <w:rsid w:val="00581F7B"/>
    <w:rsid w:val="0058491E"/>
    <w:rsid w:val="005A4124"/>
    <w:rsid w:val="005B4232"/>
    <w:rsid w:val="005B770A"/>
    <w:rsid w:val="005C0077"/>
    <w:rsid w:val="005D7D08"/>
    <w:rsid w:val="005E6789"/>
    <w:rsid w:val="005F43FB"/>
    <w:rsid w:val="00600BDF"/>
    <w:rsid w:val="006033F6"/>
    <w:rsid w:val="0061709F"/>
    <w:rsid w:val="00622867"/>
    <w:rsid w:val="0065232B"/>
    <w:rsid w:val="00665B27"/>
    <w:rsid w:val="00696AD6"/>
    <w:rsid w:val="006B0C09"/>
    <w:rsid w:val="006B1546"/>
    <w:rsid w:val="006C18BD"/>
    <w:rsid w:val="006E019F"/>
    <w:rsid w:val="006E7A20"/>
    <w:rsid w:val="006F70AC"/>
    <w:rsid w:val="00701670"/>
    <w:rsid w:val="00702A90"/>
    <w:rsid w:val="00702BEF"/>
    <w:rsid w:val="007039C8"/>
    <w:rsid w:val="00707023"/>
    <w:rsid w:val="00714275"/>
    <w:rsid w:val="007213D5"/>
    <w:rsid w:val="00732193"/>
    <w:rsid w:val="007347B9"/>
    <w:rsid w:val="00736093"/>
    <w:rsid w:val="0074666C"/>
    <w:rsid w:val="00755981"/>
    <w:rsid w:val="00767E0D"/>
    <w:rsid w:val="00780E66"/>
    <w:rsid w:val="00784DD1"/>
    <w:rsid w:val="00793A29"/>
    <w:rsid w:val="00794F8A"/>
    <w:rsid w:val="007A7545"/>
    <w:rsid w:val="007C6AC6"/>
    <w:rsid w:val="007C7BC9"/>
    <w:rsid w:val="007D241E"/>
    <w:rsid w:val="007D7144"/>
    <w:rsid w:val="007E0E71"/>
    <w:rsid w:val="007E762D"/>
    <w:rsid w:val="007F52FE"/>
    <w:rsid w:val="0080449B"/>
    <w:rsid w:val="0081789B"/>
    <w:rsid w:val="0082254E"/>
    <w:rsid w:val="00843C8B"/>
    <w:rsid w:val="00846A43"/>
    <w:rsid w:val="00863B59"/>
    <w:rsid w:val="00873C69"/>
    <w:rsid w:val="00876C70"/>
    <w:rsid w:val="00887400"/>
    <w:rsid w:val="008E3DBD"/>
    <w:rsid w:val="008E3F3D"/>
    <w:rsid w:val="008F579E"/>
    <w:rsid w:val="009000B0"/>
    <w:rsid w:val="00904CFC"/>
    <w:rsid w:val="0090725B"/>
    <w:rsid w:val="009104B6"/>
    <w:rsid w:val="0091194B"/>
    <w:rsid w:val="0091291C"/>
    <w:rsid w:val="00921DCC"/>
    <w:rsid w:val="00925681"/>
    <w:rsid w:val="0093330B"/>
    <w:rsid w:val="0094455A"/>
    <w:rsid w:val="0094794C"/>
    <w:rsid w:val="0095198A"/>
    <w:rsid w:val="00970B1B"/>
    <w:rsid w:val="00972EEE"/>
    <w:rsid w:val="0097698C"/>
    <w:rsid w:val="009779DF"/>
    <w:rsid w:val="00995B7E"/>
    <w:rsid w:val="00995DED"/>
    <w:rsid w:val="009A14CA"/>
    <w:rsid w:val="009A67C9"/>
    <w:rsid w:val="009D093C"/>
    <w:rsid w:val="009D2384"/>
    <w:rsid w:val="009D6469"/>
    <w:rsid w:val="009E78C7"/>
    <w:rsid w:val="009F1F2D"/>
    <w:rsid w:val="00A01D0E"/>
    <w:rsid w:val="00A03C98"/>
    <w:rsid w:val="00A17948"/>
    <w:rsid w:val="00A233DF"/>
    <w:rsid w:val="00A2786B"/>
    <w:rsid w:val="00A45AE6"/>
    <w:rsid w:val="00A528FF"/>
    <w:rsid w:val="00A5698B"/>
    <w:rsid w:val="00A602A7"/>
    <w:rsid w:val="00A64501"/>
    <w:rsid w:val="00A65652"/>
    <w:rsid w:val="00A91841"/>
    <w:rsid w:val="00A93611"/>
    <w:rsid w:val="00A9640D"/>
    <w:rsid w:val="00AA760B"/>
    <w:rsid w:val="00AB2B04"/>
    <w:rsid w:val="00AD2485"/>
    <w:rsid w:val="00AD3772"/>
    <w:rsid w:val="00B0309B"/>
    <w:rsid w:val="00B06DFD"/>
    <w:rsid w:val="00B12B64"/>
    <w:rsid w:val="00B17681"/>
    <w:rsid w:val="00B401FB"/>
    <w:rsid w:val="00B51943"/>
    <w:rsid w:val="00B57FBB"/>
    <w:rsid w:val="00B7358C"/>
    <w:rsid w:val="00B74F27"/>
    <w:rsid w:val="00B97FDD"/>
    <w:rsid w:val="00BB53F3"/>
    <w:rsid w:val="00BC695D"/>
    <w:rsid w:val="00BD2DC0"/>
    <w:rsid w:val="00BD4F4D"/>
    <w:rsid w:val="00BD6529"/>
    <w:rsid w:val="00BE255E"/>
    <w:rsid w:val="00BE4501"/>
    <w:rsid w:val="00BF07F2"/>
    <w:rsid w:val="00BF08BA"/>
    <w:rsid w:val="00BF2893"/>
    <w:rsid w:val="00BF48A9"/>
    <w:rsid w:val="00BF6948"/>
    <w:rsid w:val="00C02AC4"/>
    <w:rsid w:val="00C163FE"/>
    <w:rsid w:val="00C21AC5"/>
    <w:rsid w:val="00C21D92"/>
    <w:rsid w:val="00C34DAD"/>
    <w:rsid w:val="00C35001"/>
    <w:rsid w:val="00C40257"/>
    <w:rsid w:val="00C43F9D"/>
    <w:rsid w:val="00C47C09"/>
    <w:rsid w:val="00C549C8"/>
    <w:rsid w:val="00C57ECC"/>
    <w:rsid w:val="00C71CA0"/>
    <w:rsid w:val="00C72BE7"/>
    <w:rsid w:val="00C81668"/>
    <w:rsid w:val="00C9103A"/>
    <w:rsid w:val="00C91071"/>
    <w:rsid w:val="00CA2FBC"/>
    <w:rsid w:val="00CC0FF5"/>
    <w:rsid w:val="00CC4F03"/>
    <w:rsid w:val="00CC6ABF"/>
    <w:rsid w:val="00CD28A9"/>
    <w:rsid w:val="00CD4E21"/>
    <w:rsid w:val="00CD7245"/>
    <w:rsid w:val="00CE0A60"/>
    <w:rsid w:val="00CE46A1"/>
    <w:rsid w:val="00CF0C5C"/>
    <w:rsid w:val="00CF61D7"/>
    <w:rsid w:val="00CF683F"/>
    <w:rsid w:val="00D1005E"/>
    <w:rsid w:val="00D177CC"/>
    <w:rsid w:val="00D243A8"/>
    <w:rsid w:val="00D26328"/>
    <w:rsid w:val="00D3604A"/>
    <w:rsid w:val="00D46CF0"/>
    <w:rsid w:val="00D654AF"/>
    <w:rsid w:val="00D77287"/>
    <w:rsid w:val="00D85EC9"/>
    <w:rsid w:val="00D86429"/>
    <w:rsid w:val="00D92039"/>
    <w:rsid w:val="00D964F6"/>
    <w:rsid w:val="00DA0180"/>
    <w:rsid w:val="00DA292C"/>
    <w:rsid w:val="00DB3FD6"/>
    <w:rsid w:val="00DC244F"/>
    <w:rsid w:val="00DD6945"/>
    <w:rsid w:val="00DE766A"/>
    <w:rsid w:val="00E016DA"/>
    <w:rsid w:val="00E139DB"/>
    <w:rsid w:val="00E20BE3"/>
    <w:rsid w:val="00E435AE"/>
    <w:rsid w:val="00E4370F"/>
    <w:rsid w:val="00E43AFC"/>
    <w:rsid w:val="00E50A19"/>
    <w:rsid w:val="00E64302"/>
    <w:rsid w:val="00E85D45"/>
    <w:rsid w:val="00EA1466"/>
    <w:rsid w:val="00EA5916"/>
    <w:rsid w:val="00EA78F0"/>
    <w:rsid w:val="00EB0366"/>
    <w:rsid w:val="00EB5647"/>
    <w:rsid w:val="00EC663E"/>
    <w:rsid w:val="00ED6C78"/>
    <w:rsid w:val="00EE44F2"/>
    <w:rsid w:val="00EE65B0"/>
    <w:rsid w:val="00EE7BF2"/>
    <w:rsid w:val="00EF11A0"/>
    <w:rsid w:val="00EF32ED"/>
    <w:rsid w:val="00EF5BA2"/>
    <w:rsid w:val="00F00D7E"/>
    <w:rsid w:val="00F02397"/>
    <w:rsid w:val="00F2100B"/>
    <w:rsid w:val="00F25E61"/>
    <w:rsid w:val="00F27A67"/>
    <w:rsid w:val="00F30650"/>
    <w:rsid w:val="00F32139"/>
    <w:rsid w:val="00F345D3"/>
    <w:rsid w:val="00F360FE"/>
    <w:rsid w:val="00F37671"/>
    <w:rsid w:val="00F431B9"/>
    <w:rsid w:val="00F44D5E"/>
    <w:rsid w:val="00F45DAA"/>
    <w:rsid w:val="00F45F2B"/>
    <w:rsid w:val="00F46D15"/>
    <w:rsid w:val="00F6430B"/>
    <w:rsid w:val="00F66749"/>
    <w:rsid w:val="00F74A57"/>
    <w:rsid w:val="00F75E4D"/>
    <w:rsid w:val="00F82BB5"/>
    <w:rsid w:val="00F8576E"/>
    <w:rsid w:val="00F93574"/>
    <w:rsid w:val="00F94FE6"/>
    <w:rsid w:val="00F95A41"/>
    <w:rsid w:val="00FA196E"/>
    <w:rsid w:val="00FA5CC1"/>
    <w:rsid w:val="00FB157F"/>
    <w:rsid w:val="00FC5155"/>
    <w:rsid w:val="00FD5735"/>
    <w:rsid w:val="00FE1379"/>
    <w:rsid w:val="00FE24C4"/>
    <w:rsid w:val="01021E59"/>
    <w:rsid w:val="011756E7"/>
    <w:rsid w:val="0117719B"/>
    <w:rsid w:val="01247DF8"/>
    <w:rsid w:val="012A4B1E"/>
    <w:rsid w:val="012D66CB"/>
    <w:rsid w:val="01516D31"/>
    <w:rsid w:val="01521C8D"/>
    <w:rsid w:val="01527C8C"/>
    <w:rsid w:val="01543C57"/>
    <w:rsid w:val="015D36C0"/>
    <w:rsid w:val="015F297D"/>
    <w:rsid w:val="016D4D19"/>
    <w:rsid w:val="01852063"/>
    <w:rsid w:val="0192652E"/>
    <w:rsid w:val="01BD7405"/>
    <w:rsid w:val="01C57766"/>
    <w:rsid w:val="01D30349"/>
    <w:rsid w:val="01D86637"/>
    <w:rsid w:val="01E70628"/>
    <w:rsid w:val="01EA7579"/>
    <w:rsid w:val="01F12C69"/>
    <w:rsid w:val="01F9035B"/>
    <w:rsid w:val="020C62E0"/>
    <w:rsid w:val="0213141D"/>
    <w:rsid w:val="02183236"/>
    <w:rsid w:val="0223508A"/>
    <w:rsid w:val="0224187C"/>
    <w:rsid w:val="022C2E9B"/>
    <w:rsid w:val="022C3206"/>
    <w:rsid w:val="022E6257"/>
    <w:rsid w:val="022F3412"/>
    <w:rsid w:val="02355837"/>
    <w:rsid w:val="023F2212"/>
    <w:rsid w:val="024261A6"/>
    <w:rsid w:val="02505829"/>
    <w:rsid w:val="0256110A"/>
    <w:rsid w:val="025D690F"/>
    <w:rsid w:val="026272AD"/>
    <w:rsid w:val="027345B1"/>
    <w:rsid w:val="027846B9"/>
    <w:rsid w:val="02937581"/>
    <w:rsid w:val="02A84456"/>
    <w:rsid w:val="02AC49C1"/>
    <w:rsid w:val="02B87A6E"/>
    <w:rsid w:val="02C436AC"/>
    <w:rsid w:val="02CB4098"/>
    <w:rsid w:val="02CE5389"/>
    <w:rsid w:val="02E35293"/>
    <w:rsid w:val="02E4048D"/>
    <w:rsid w:val="02ED6112"/>
    <w:rsid w:val="02EE3B43"/>
    <w:rsid w:val="030376E3"/>
    <w:rsid w:val="030926DB"/>
    <w:rsid w:val="030A3279"/>
    <w:rsid w:val="030C57E9"/>
    <w:rsid w:val="031F3DF1"/>
    <w:rsid w:val="03237D85"/>
    <w:rsid w:val="03253523"/>
    <w:rsid w:val="0331691B"/>
    <w:rsid w:val="034C2738"/>
    <w:rsid w:val="034D4C97"/>
    <w:rsid w:val="034F46D6"/>
    <w:rsid w:val="0350044F"/>
    <w:rsid w:val="035148F2"/>
    <w:rsid w:val="03701ADE"/>
    <w:rsid w:val="037203C5"/>
    <w:rsid w:val="03887BE8"/>
    <w:rsid w:val="03907DE8"/>
    <w:rsid w:val="039151BB"/>
    <w:rsid w:val="039A621C"/>
    <w:rsid w:val="03B92498"/>
    <w:rsid w:val="03C230FA"/>
    <w:rsid w:val="03C55ED4"/>
    <w:rsid w:val="03C926DB"/>
    <w:rsid w:val="03FF264E"/>
    <w:rsid w:val="04090B5E"/>
    <w:rsid w:val="040C25C7"/>
    <w:rsid w:val="040F104D"/>
    <w:rsid w:val="041C3329"/>
    <w:rsid w:val="04243786"/>
    <w:rsid w:val="042D6B08"/>
    <w:rsid w:val="04367644"/>
    <w:rsid w:val="043B20C3"/>
    <w:rsid w:val="044116F6"/>
    <w:rsid w:val="04635E25"/>
    <w:rsid w:val="04643E13"/>
    <w:rsid w:val="04697A1A"/>
    <w:rsid w:val="046C48D8"/>
    <w:rsid w:val="048E56D2"/>
    <w:rsid w:val="04A95AF7"/>
    <w:rsid w:val="04C32313"/>
    <w:rsid w:val="04C9495C"/>
    <w:rsid w:val="04CE479F"/>
    <w:rsid w:val="04DC4690"/>
    <w:rsid w:val="04EB158C"/>
    <w:rsid w:val="04F82B4C"/>
    <w:rsid w:val="050A25F3"/>
    <w:rsid w:val="051123A4"/>
    <w:rsid w:val="0512093A"/>
    <w:rsid w:val="0514287A"/>
    <w:rsid w:val="05177476"/>
    <w:rsid w:val="0520379B"/>
    <w:rsid w:val="05280DDE"/>
    <w:rsid w:val="05296C60"/>
    <w:rsid w:val="052A7CFA"/>
    <w:rsid w:val="05310411"/>
    <w:rsid w:val="05366EA3"/>
    <w:rsid w:val="053718C6"/>
    <w:rsid w:val="054A61EE"/>
    <w:rsid w:val="055A54B2"/>
    <w:rsid w:val="056621AB"/>
    <w:rsid w:val="05785527"/>
    <w:rsid w:val="057F32CF"/>
    <w:rsid w:val="05834B0B"/>
    <w:rsid w:val="0588243D"/>
    <w:rsid w:val="05944D76"/>
    <w:rsid w:val="05953B46"/>
    <w:rsid w:val="05A54516"/>
    <w:rsid w:val="05B24665"/>
    <w:rsid w:val="05BE1FE7"/>
    <w:rsid w:val="05C07B0D"/>
    <w:rsid w:val="05C3270E"/>
    <w:rsid w:val="05C3315A"/>
    <w:rsid w:val="05C369CD"/>
    <w:rsid w:val="05EF21A1"/>
    <w:rsid w:val="05F257ED"/>
    <w:rsid w:val="06021ED4"/>
    <w:rsid w:val="060914B4"/>
    <w:rsid w:val="06135E8F"/>
    <w:rsid w:val="061B4D44"/>
    <w:rsid w:val="061E4834"/>
    <w:rsid w:val="06285025"/>
    <w:rsid w:val="062A15C1"/>
    <w:rsid w:val="063125AB"/>
    <w:rsid w:val="06400C4E"/>
    <w:rsid w:val="065107F9"/>
    <w:rsid w:val="066B1D62"/>
    <w:rsid w:val="06763196"/>
    <w:rsid w:val="068648B3"/>
    <w:rsid w:val="069F7723"/>
    <w:rsid w:val="06B56F46"/>
    <w:rsid w:val="06CD3E2A"/>
    <w:rsid w:val="06D32584"/>
    <w:rsid w:val="06E45A7E"/>
    <w:rsid w:val="06EB6E0C"/>
    <w:rsid w:val="06FA2D30"/>
    <w:rsid w:val="06FB62C0"/>
    <w:rsid w:val="07177C01"/>
    <w:rsid w:val="071C6FC5"/>
    <w:rsid w:val="07222102"/>
    <w:rsid w:val="072506DC"/>
    <w:rsid w:val="072C6C75"/>
    <w:rsid w:val="072D11D3"/>
    <w:rsid w:val="075C1AB8"/>
    <w:rsid w:val="076467EA"/>
    <w:rsid w:val="07674F8D"/>
    <w:rsid w:val="076E4BA2"/>
    <w:rsid w:val="07762B7A"/>
    <w:rsid w:val="07823A0B"/>
    <w:rsid w:val="07990616"/>
    <w:rsid w:val="079B0769"/>
    <w:rsid w:val="079C1EB4"/>
    <w:rsid w:val="079C2329"/>
    <w:rsid w:val="07B013E8"/>
    <w:rsid w:val="07B40FAC"/>
    <w:rsid w:val="07BD094A"/>
    <w:rsid w:val="07C733D5"/>
    <w:rsid w:val="07DE071F"/>
    <w:rsid w:val="07E83C6F"/>
    <w:rsid w:val="07ED0962"/>
    <w:rsid w:val="07EF3E17"/>
    <w:rsid w:val="07F46D17"/>
    <w:rsid w:val="07F612BE"/>
    <w:rsid w:val="080737D2"/>
    <w:rsid w:val="0825549A"/>
    <w:rsid w:val="082C738A"/>
    <w:rsid w:val="08320C02"/>
    <w:rsid w:val="08397703"/>
    <w:rsid w:val="08430582"/>
    <w:rsid w:val="08513C0E"/>
    <w:rsid w:val="0869623A"/>
    <w:rsid w:val="086A4515"/>
    <w:rsid w:val="087D7893"/>
    <w:rsid w:val="087F5A58"/>
    <w:rsid w:val="088521A6"/>
    <w:rsid w:val="0889068B"/>
    <w:rsid w:val="08901A19"/>
    <w:rsid w:val="089B6CCD"/>
    <w:rsid w:val="08A45C90"/>
    <w:rsid w:val="08A70B11"/>
    <w:rsid w:val="08BA344D"/>
    <w:rsid w:val="08D139F0"/>
    <w:rsid w:val="08D835CC"/>
    <w:rsid w:val="08E92EA7"/>
    <w:rsid w:val="08EC08A0"/>
    <w:rsid w:val="08FD1976"/>
    <w:rsid w:val="09027028"/>
    <w:rsid w:val="090B0E2F"/>
    <w:rsid w:val="09100E8B"/>
    <w:rsid w:val="09183F04"/>
    <w:rsid w:val="092A7C8A"/>
    <w:rsid w:val="09300B06"/>
    <w:rsid w:val="093C56FD"/>
    <w:rsid w:val="09461CD6"/>
    <w:rsid w:val="09521455"/>
    <w:rsid w:val="09554A11"/>
    <w:rsid w:val="0955726C"/>
    <w:rsid w:val="095C5D9F"/>
    <w:rsid w:val="09772BD9"/>
    <w:rsid w:val="09780A1B"/>
    <w:rsid w:val="097B7776"/>
    <w:rsid w:val="097E09D7"/>
    <w:rsid w:val="097F49DD"/>
    <w:rsid w:val="098A290C"/>
    <w:rsid w:val="099A2423"/>
    <w:rsid w:val="09D309DF"/>
    <w:rsid w:val="09DD2A69"/>
    <w:rsid w:val="09EF6C13"/>
    <w:rsid w:val="09F119AB"/>
    <w:rsid w:val="0A083831"/>
    <w:rsid w:val="0A0A4A1E"/>
    <w:rsid w:val="0A1E3055"/>
    <w:rsid w:val="0A283ED3"/>
    <w:rsid w:val="0A366EA1"/>
    <w:rsid w:val="0A460F97"/>
    <w:rsid w:val="0A5F3317"/>
    <w:rsid w:val="0A6773C9"/>
    <w:rsid w:val="0A704AD0"/>
    <w:rsid w:val="0A79011B"/>
    <w:rsid w:val="0A7B69FE"/>
    <w:rsid w:val="0A8525B1"/>
    <w:rsid w:val="0A872E9B"/>
    <w:rsid w:val="0A882225"/>
    <w:rsid w:val="0A8E1F88"/>
    <w:rsid w:val="0A9B6453"/>
    <w:rsid w:val="0AA23C86"/>
    <w:rsid w:val="0AA95014"/>
    <w:rsid w:val="0AAC0660"/>
    <w:rsid w:val="0ABA2D7D"/>
    <w:rsid w:val="0AC736EC"/>
    <w:rsid w:val="0AD16319"/>
    <w:rsid w:val="0AF02C43"/>
    <w:rsid w:val="0AF0679F"/>
    <w:rsid w:val="0AF9186D"/>
    <w:rsid w:val="0AFA5B66"/>
    <w:rsid w:val="0AFF4C34"/>
    <w:rsid w:val="0B09160F"/>
    <w:rsid w:val="0B091C8C"/>
    <w:rsid w:val="0B1A1A6E"/>
    <w:rsid w:val="0B2F6F8F"/>
    <w:rsid w:val="0B325009"/>
    <w:rsid w:val="0B3A6179"/>
    <w:rsid w:val="0B464611"/>
    <w:rsid w:val="0B4765DB"/>
    <w:rsid w:val="0B491765"/>
    <w:rsid w:val="0B4D1C03"/>
    <w:rsid w:val="0B753F4C"/>
    <w:rsid w:val="0B7D1FFD"/>
    <w:rsid w:val="0B870B9C"/>
    <w:rsid w:val="0B8D5506"/>
    <w:rsid w:val="0B934812"/>
    <w:rsid w:val="0BA155D2"/>
    <w:rsid w:val="0BA34311"/>
    <w:rsid w:val="0BB377CC"/>
    <w:rsid w:val="0BDC6D23"/>
    <w:rsid w:val="0BFC361E"/>
    <w:rsid w:val="0C0F70F9"/>
    <w:rsid w:val="0C112E71"/>
    <w:rsid w:val="0C14470F"/>
    <w:rsid w:val="0C2A5DF9"/>
    <w:rsid w:val="0C3A6343"/>
    <w:rsid w:val="0C6D3E1F"/>
    <w:rsid w:val="0C77407F"/>
    <w:rsid w:val="0C9B273A"/>
    <w:rsid w:val="0C9B71EA"/>
    <w:rsid w:val="0C9D4809"/>
    <w:rsid w:val="0C9E1915"/>
    <w:rsid w:val="0CA13776"/>
    <w:rsid w:val="0CAA0BCF"/>
    <w:rsid w:val="0CAA7322"/>
    <w:rsid w:val="0CAE6749"/>
    <w:rsid w:val="0CB35CD6"/>
    <w:rsid w:val="0CB90E13"/>
    <w:rsid w:val="0CBD758B"/>
    <w:rsid w:val="0CBE28CD"/>
    <w:rsid w:val="0CC55A09"/>
    <w:rsid w:val="0CD04D8F"/>
    <w:rsid w:val="0CE53CF6"/>
    <w:rsid w:val="0CF3149A"/>
    <w:rsid w:val="0CF32576"/>
    <w:rsid w:val="0D0B7A8F"/>
    <w:rsid w:val="0D295F98"/>
    <w:rsid w:val="0D2E7C4F"/>
    <w:rsid w:val="0D30098E"/>
    <w:rsid w:val="0D32564B"/>
    <w:rsid w:val="0D325847"/>
    <w:rsid w:val="0D336E17"/>
    <w:rsid w:val="0D340D45"/>
    <w:rsid w:val="0D353FB7"/>
    <w:rsid w:val="0D51348D"/>
    <w:rsid w:val="0D556D8D"/>
    <w:rsid w:val="0D5A0848"/>
    <w:rsid w:val="0D98311E"/>
    <w:rsid w:val="0D9D6B54"/>
    <w:rsid w:val="0DAA4917"/>
    <w:rsid w:val="0DB04C6E"/>
    <w:rsid w:val="0DCB4A28"/>
    <w:rsid w:val="0DD3572C"/>
    <w:rsid w:val="0DD73C46"/>
    <w:rsid w:val="0DE325EB"/>
    <w:rsid w:val="0DE67374"/>
    <w:rsid w:val="0DF33AC1"/>
    <w:rsid w:val="0E060763"/>
    <w:rsid w:val="0E0D1416"/>
    <w:rsid w:val="0E2B1C5D"/>
    <w:rsid w:val="0E4A6719"/>
    <w:rsid w:val="0E5C2437"/>
    <w:rsid w:val="0E6D1D7A"/>
    <w:rsid w:val="0E6F7A49"/>
    <w:rsid w:val="0E84505F"/>
    <w:rsid w:val="0E883192"/>
    <w:rsid w:val="0E9A2DFC"/>
    <w:rsid w:val="0EA3358B"/>
    <w:rsid w:val="0EAB756C"/>
    <w:rsid w:val="0EBF5172"/>
    <w:rsid w:val="0EC20314"/>
    <w:rsid w:val="0EC54DF5"/>
    <w:rsid w:val="0ECC307F"/>
    <w:rsid w:val="0EDD73F8"/>
    <w:rsid w:val="0EE303C9"/>
    <w:rsid w:val="0EE9651C"/>
    <w:rsid w:val="0EEC49C3"/>
    <w:rsid w:val="0EFC3072"/>
    <w:rsid w:val="0EFD74F3"/>
    <w:rsid w:val="0F25358B"/>
    <w:rsid w:val="0F2A5FF8"/>
    <w:rsid w:val="0F3A0931"/>
    <w:rsid w:val="0F3D1107"/>
    <w:rsid w:val="0F4D3059"/>
    <w:rsid w:val="0F55715B"/>
    <w:rsid w:val="0F5F28E3"/>
    <w:rsid w:val="0F625791"/>
    <w:rsid w:val="0F783207"/>
    <w:rsid w:val="0F7F6343"/>
    <w:rsid w:val="0F8D63BA"/>
    <w:rsid w:val="0F9455C2"/>
    <w:rsid w:val="0FA43FFC"/>
    <w:rsid w:val="0FAE35ED"/>
    <w:rsid w:val="0FCD5301"/>
    <w:rsid w:val="0FD07183"/>
    <w:rsid w:val="0FE22D08"/>
    <w:rsid w:val="10001F6E"/>
    <w:rsid w:val="10044A9B"/>
    <w:rsid w:val="10152D2D"/>
    <w:rsid w:val="1021564D"/>
    <w:rsid w:val="10401B68"/>
    <w:rsid w:val="105378EF"/>
    <w:rsid w:val="10612BD8"/>
    <w:rsid w:val="108F545B"/>
    <w:rsid w:val="10974402"/>
    <w:rsid w:val="10A342B4"/>
    <w:rsid w:val="10AA1E71"/>
    <w:rsid w:val="10B938A1"/>
    <w:rsid w:val="10CD30DE"/>
    <w:rsid w:val="11052878"/>
    <w:rsid w:val="11056D4E"/>
    <w:rsid w:val="110F6BF8"/>
    <w:rsid w:val="112278CE"/>
    <w:rsid w:val="112518E3"/>
    <w:rsid w:val="112E0021"/>
    <w:rsid w:val="11317FB6"/>
    <w:rsid w:val="11335637"/>
    <w:rsid w:val="113A017B"/>
    <w:rsid w:val="113B22CD"/>
    <w:rsid w:val="113D7CB3"/>
    <w:rsid w:val="11482866"/>
    <w:rsid w:val="114B42D9"/>
    <w:rsid w:val="115A0E16"/>
    <w:rsid w:val="11722693"/>
    <w:rsid w:val="117D35E2"/>
    <w:rsid w:val="117D3A12"/>
    <w:rsid w:val="117F5D8D"/>
    <w:rsid w:val="11845795"/>
    <w:rsid w:val="119209F9"/>
    <w:rsid w:val="11A526D9"/>
    <w:rsid w:val="11AC53EA"/>
    <w:rsid w:val="11B26C6E"/>
    <w:rsid w:val="11BD3153"/>
    <w:rsid w:val="11C52008"/>
    <w:rsid w:val="11C80677"/>
    <w:rsid w:val="11CB1D14"/>
    <w:rsid w:val="11D504D2"/>
    <w:rsid w:val="121357BC"/>
    <w:rsid w:val="121F796A"/>
    <w:rsid w:val="122C48A4"/>
    <w:rsid w:val="12346A30"/>
    <w:rsid w:val="12426516"/>
    <w:rsid w:val="124C38B9"/>
    <w:rsid w:val="12567B47"/>
    <w:rsid w:val="12735704"/>
    <w:rsid w:val="12971F5B"/>
    <w:rsid w:val="12994736"/>
    <w:rsid w:val="129B54F0"/>
    <w:rsid w:val="12AD31C8"/>
    <w:rsid w:val="12B72298"/>
    <w:rsid w:val="12BA7692"/>
    <w:rsid w:val="12CF1390"/>
    <w:rsid w:val="12D43EC1"/>
    <w:rsid w:val="12D6271E"/>
    <w:rsid w:val="12D871B4"/>
    <w:rsid w:val="12F63374"/>
    <w:rsid w:val="12F820FE"/>
    <w:rsid w:val="12FE1C75"/>
    <w:rsid w:val="13143247"/>
    <w:rsid w:val="131B6E0E"/>
    <w:rsid w:val="131E40C5"/>
    <w:rsid w:val="132437C9"/>
    <w:rsid w:val="133F0B2A"/>
    <w:rsid w:val="136441CE"/>
    <w:rsid w:val="13701911"/>
    <w:rsid w:val="13723405"/>
    <w:rsid w:val="13734411"/>
    <w:rsid w:val="137477F1"/>
    <w:rsid w:val="137912FC"/>
    <w:rsid w:val="137A57A0"/>
    <w:rsid w:val="137B545C"/>
    <w:rsid w:val="139204B1"/>
    <w:rsid w:val="139B3968"/>
    <w:rsid w:val="139D3C46"/>
    <w:rsid w:val="13A91BE1"/>
    <w:rsid w:val="13B011C1"/>
    <w:rsid w:val="13C1635D"/>
    <w:rsid w:val="13C22CA3"/>
    <w:rsid w:val="13CB58B6"/>
    <w:rsid w:val="13D33102"/>
    <w:rsid w:val="13D9346A"/>
    <w:rsid w:val="13DE7A85"/>
    <w:rsid w:val="13E17B66"/>
    <w:rsid w:val="13E92070"/>
    <w:rsid w:val="13F72496"/>
    <w:rsid w:val="13F76DF0"/>
    <w:rsid w:val="13F86B10"/>
    <w:rsid w:val="13FD3CDB"/>
    <w:rsid w:val="14005579"/>
    <w:rsid w:val="14025795"/>
    <w:rsid w:val="14045448"/>
    <w:rsid w:val="140C1889"/>
    <w:rsid w:val="14120B2D"/>
    <w:rsid w:val="141352AC"/>
    <w:rsid w:val="141E1139"/>
    <w:rsid w:val="143D057B"/>
    <w:rsid w:val="143E7521"/>
    <w:rsid w:val="143F2E71"/>
    <w:rsid w:val="144354F9"/>
    <w:rsid w:val="14475498"/>
    <w:rsid w:val="144B2C98"/>
    <w:rsid w:val="14636234"/>
    <w:rsid w:val="14697BE6"/>
    <w:rsid w:val="146E386F"/>
    <w:rsid w:val="147723D4"/>
    <w:rsid w:val="147E1DCA"/>
    <w:rsid w:val="148B522A"/>
    <w:rsid w:val="148D59AB"/>
    <w:rsid w:val="149603DC"/>
    <w:rsid w:val="14A14FAE"/>
    <w:rsid w:val="14A35840"/>
    <w:rsid w:val="14A578DF"/>
    <w:rsid w:val="14A800EA"/>
    <w:rsid w:val="14AA5E1D"/>
    <w:rsid w:val="14DA6099"/>
    <w:rsid w:val="14E05AD6"/>
    <w:rsid w:val="14F271DF"/>
    <w:rsid w:val="14F81A49"/>
    <w:rsid w:val="14FB1D3F"/>
    <w:rsid w:val="14FB2DCA"/>
    <w:rsid w:val="150978C9"/>
    <w:rsid w:val="150D619F"/>
    <w:rsid w:val="15161E4E"/>
    <w:rsid w:val="151F1E28"/>
    <w:rsid w:val="15232E3B"/>
    <w:rsid w:val="1524655E"/>
    <w:rsid w:val="15287C4D"/>
    <w:rsid w:val="15325C06"/>
    <w:rsid w:val="154B357E"/>
    <w:rsid w:val="154C274D"/>
    <w:rsid w:val="155A1BBA"/>
    <w:rsid w:val="157629DC"/>
    <w:rsid w:val="15826B8D"/>
    <w:rsid w:val="15950993"/>
    <w:rsid w:val="159863B1"/>
    <w:rsid w:val="15995C85"/>
    <w:rsid w:val="159C0F6D"/>
    <w:rsid w:val="159C3623"/>
    <w:rsid w:val="15B0024A"/>
    <w:rsid w:val="15B8091F"/>
    <w:rsid w:val="15C727F2"/>
    <w:rsid w:val="15C9656A"/>
    <w:rsid w:val="15DA064A"/>
    <w:rsid w:val="15E4539C"/>
    <w:rsid w:val="16091A1E"/>
    <w:rsid w:val="160B6F48"/>
    <w:rsid w:val="160E17A5"/>
    <w:rsid w:val="161377E5"/>
    <w:rsid w:val="162C6035"/>
    <w:rsid w:val="162C68E9"/>
    <w:rsid w:val="163B0AEA"/>
    <w:rsid w:val="164B3423"/>
    <w:rsid w:val="164D719B"/>
    <w:rsid w:val="165733D1"/>
    <w:rsid w:val="16576893"/>
    <w:rsid w:val="166560CF"/>
    <w:rsid w:val="1667130E"/>
    <w:rsid w:val="166718DF"/>
    <w:rsid w:val="166938A9"/>
    <w:rsid w:val="16745DE6"/>
    <w:rsid w:val="168340D6"/>
    <w:rsid w:val="16941272"/>
    <w:rsid w:val="1694473B"/>
    <w:rsid w:val="16A6065A"/>
    <w:rsid w:val="16A80F0A"/>
    <w:rsid w:val="16A8318F"/>
    <w:rsid w:val="16B624C1"/>
    <w:rsid w:val="16B72867"/>
    <w:rsid w:val="16B94831"/>
    <w:rsid w:val="16CC738A"/>
    <w:rsid w:val="16FD0075"/>
    <w:rsid w:val="17053DCF"/>
    <w:rsid w:val="170A1290"/>
    <w:rsid w:val="170E3004"/>
    <w:rsid w:val="17122889"/>
    <w:rsid w:val="17125CEF"/>
    <w:rsid w:val="171E2A58"/>
    <w:rsid w:val="173415D1"/>
    <w:rsid w:val="17367C2F"/>
    <w:rsid w:val="173914CE"/>
    <w:rsid w:val="17514A69"/>
    <w:rsid w:val="17531D90"/>
    <w:rsid w:val="17545B20"/>
    <w:rsid w:val="175F6473"/>
    <w:rsid w:val="17624FAF"/>
    <w:rsid w:val="176A78D9"/>
    <w:rsid w:val="1787048B"/>
    <w:rsid w:val="17937832"/>
    <w:rsid w:val="17946704"/>
    <w:rsid w:val="179738D1"/>
    <w:rsid w:val="179F5F07"/>
    <w:rsid w:val="17A60604"/>
    <w:rsid w:val="17BC3F9E"/>
    <w:rsid w:val="17CD2FEC"/>
    <w:rsid w:val="17D70197"/>
    <w:rsid w:val="17D97833"/>
    <w:rsid w:val="17E21B65"/>
    <w:rsid w:val="17F92A0B"/>
    <w:rsid w:val="17FF78F6"/>
    <w:rsid w:val="1803197A"/>
    <w:rsid w:val="180C273E"/>
    <w:rsid w:val="18133ACD"/>
    <w:rsid w:val="181B2472"/>
    <w:rsid w:val="182D715E"/>
    <w:rsid w:val="1832487B"/>
    <w:rsid w:val="183D0B4A"/>
    <w:rsid w:val="184810EA"/>
    <w:rsid w:val="186345B6"/>
    <w:rsid w:val="187D0A35"/>
    <w:rsid w:val="187E2D33"/>
    <w:rsid w:val="188A049E"/>
    <w:rsid w:val="18921AEE"/>
    <w:rsid w:val="18A21833"/>
    <w:rsid w:val="18A977A2"/>
    <w:rsid w:val="18AC5CCF"/>
    <w:rsid w:val="18AE7E04"/>
    <w:rsid w:val="18B0756E"/>
    <w:rsid w:val="18B14413"/>
    <w:rsid w:val="18BB38C2"/>
    <w:rsid w:val="18BC1549"/>
    <w:rsid w:val="18CB43A7"/>
    <w:rsid w:val="18CE20EA"/>
    <w:rsid w:val="18D43EF9"/>
    <w:rsid w:val="18DF2CBE"/>
    <w:rsid w:val="18E748B5"/>
    <w:rsid w:val="19014D5D"/>
    <w:rsid w:val="19070402"/>
    <w:rsid w:val="19355BD6"/>
    <w:rsid w:val="193C3656"/>
    <w:rsid w:val="1947061F"/>
    <w:rsid w:val="194D1260"/>
    <w:rsid w:val="194D158F"/>
    <w:rsid w:val="1955078C"/>
    <w:rsid w:val="196A4BE9"/>
    <w:rsid w:val="1977008B"/>
    <w:rsid w:val="197E141A"/>
    <w:rsid w:val="19805BAE"/>
    <w:rsid w:val="198C0AC2"/>
    <w:rsid w:val="198C0D09"/>
    <w:rsid w:val="19947D9E"/>
    <w:rsid w:val="199649B5"/>
    <w:rsid w:val="19970E4C"/>
    <w:rsid w:val="19A97067"/>
    <w:rsid w:val="19B75C90"/>
    <w:rsid w:val="19B82FDE"/>
    <w:rsid w:val="19BF5A88"/>
    <w:rsid w:val="19D43591"/>
    <w:rsid w:val="19EE760C"/>
    <w:rsid w:val="1A0A6AB1"/>
    <w:rsid w:val="1A1B4EBB"/>
    <w:rsid w:val="1A2C42B3"/>
    <w:rsid w:val="1A2E1828"/>
    <w:rsid w:val="1A372E20"/>
    <w:rsid w:val="1A394CFA"/>
    <w:rsid w:val="1A3F504D"/>
    <w:rsid w:val="1A570027"/>
    <w:rsid w:val="1A72414B"/>
    <w:rsid w:val="1A7E523E"/>
    <w:rsid w:val="1A815666"/>
    <w:rsid w:val="1A8213DE"/>
    <w:rsid w:val="1A8217DE"/>
    <w:rsid w:val="1A830EA6"/>
    <w:rsid w:val="1A8B2E61"/>
    <w:rsid w:val="1A9058A9"/>
    <w:rsid w:val="1AA11864"/>
    <w:rsid w:val="1AA17AB6"/>
    <w:rsid w:val="1AB70C2E"/>
    <w:rsid w:val="1AB772D9"/>
    <w:rsid w:val="1ABF31AA"/>
    <w:rsid w:val="1AC15A62"/>
    <w:rsid w:val="1AD559B1"/>
    <w:rsid w:val="1ADC289C"/>
    <w:rsid w:val="1AEC6D5C"/>
    <w:rsid w:val="1B083691"/>
    <w:rsid w:val="1B086E06"/>
    <w:rsid w:val="1B0C26F4"/>
    <w:rsid w:val="1B2E5485"/>
    <w:rsid w:val="1B373F76"/>
    <w:rsid w:val="1B446E20"/>
    <w:rsid w:val="1B495D39"/>
    <w:rsid w:val="1B544B28"/>
    <w:rsid w:val="1B5A7C65"/>
    <w:rsid w:val="1B6474E1"/>
    <w:rsid w:val="1B66485B"/>
    <w:rsid w:val="1B6708DC"/>
    <w:rsid w:val="1B6F35FB"/>
    <w:rsid w:val="1B94128E"/>
    <w:rsid w:val="1BB27AA1"/>
    <w:rsid w:val="1BB630ED"/>
    <w:rsid w:val="1BBF7C5E"/>
    <w:rsid w:val="1BDB3BA4"/>
    <w:rsid w:val="1BEC16A3"/>
    <w:rsid w:val="1BF057B3"/>
    <w:rsid w:val="1BF35CEB"/>
    <w:rsid w:val="1C042150"/>
    <w:rsid w:val="1C16002F"/>
    <w:rsid w:val="1C212950"/>
    <w:rsid w:val="1C2A3ADB"/>
    <w:rsid w:val="1C312A90"/>
    <w:rsid w:val="1C3D380E"/>
    <w:rsid w:val="1C3E5690"/>
    <w:rsid w:val="1C482575"/>
    <w:rsid w:val="1C625023"/>
    <w:rsid w:val="1C693B39"/>
    <w:rsid w:val="1C6C577B"/>
    <w:rsid w:val="1C7E0A3B"/>
    <w:rsid w:val="1C844F99"/>
    <w:rsid w:val="1CA10762"/>
    <w:rsid w:val="1CA375F1"/>
    <w:rsid w:val="1CE7089B"/>
    <w:rsid w:val="1CED1F3C"/>
    <w:rsid w:val="1CF2284B"/>
    <w:rsid w:val="1CFC0FD3"/>
    <w:rsid w:val="1CFC7225"/>
    <w:rsid w:val="1D3E7EDB"/>
    <w:rsid w:val="1D3F2B5F"/>
    <w:rsid w:val="1D4B5AB7"/>
    <w:rsid w:val="1D575FE9"/>
    <w:rsid w:val="1D84721B"/>
    <w:rsid w:val="1D847ACD"/>
    <w:rsid w:val="1D871E34"/>
    <w:rsid w:val="1D884F5D"/>
    <w:rsid w:val="1D8C721C"/>
    <w:rsid w:val="1D941987"/>
    <w:rsid w:val="1D9751A0"/>
    <w:rsid w:val="1DA82F09"/>
    <w:rsid w:val="1DC95982"/>
    <w:rsid w:val="1DD91315"/>
    <w:rsid w:val="1DE12819"/>
    <w:rsid w:val="1DE9717E"/>
    <w:rsid w:val="1DFA7435"/>
    <w:rsid w:val="1E094145"/>
    <w:rsid w:val="1E185BE6"/>
    <w:rsid w:val="1E217ADA"/>
    <w:rsid w:val="1E2C3B3A"/>
    <w:rsid w:val="1E384623"/>
    <w:rsid w:val="1E3E1A6B"/>
    <w:rsid w:val="1E4A0464"/>
    <w:rsid w:val="1E513796"/>
    <w:rsid w:val="1E551030"/>
    <w:rsid w:val="1E5A22DA"/>
    <w:rsid w:val="1E62130A"/>
    <w:rsid w:val="1E751D37"/>
    <w:rsid w:val="1E7B78CE"/>
    <w:rsid w:val="1E7D50F5"/>
    <w:rsid w:val="1E860CC4"/>
    <w:rsid w:val="1E894AFB"/>
    <w:rsid w:val="1E944099"/>
    <w:rsid w:val="1EAD6AC7"/>
    <w:rsid w:val="1EAE7F57"/>
    <w:rsid w:val="1EBB25E9"/>
    <w:rsid w:val="1EC652E8"/>
    <w:rsid w:val="1ECE2E43"/>
    <w:rsid w:val="1EE0393B"/>
    <w:rsid w:val="1EEA3302"/>
    <w:rsid w:val="1EF758B6"/>
    <w:rsid w:val="1F086ED8"/>
    <w:rsid w:val="1F2C614A"/>
    <w:rsid w:val="1F2D3133"/>
    <w:rsid w:val="1F444EB4"/>
    <w:rsid w:val="1F4B7FF0"/>
    <w:rsid w:val="1F72557D"/>
    <w:rsid w:val="1F7600F9"/>
    <w:rsid w:val="1F843502"/>
    <w:rsid w:val="1F8B3D41"/>
    <w:rsid w:val="1FA3579A"/>
    <w:rsid w:val="1FA57DDF"/>
    <w:rsid w:val="1FB57B5F"/>
    <w:rsid w:val="1FBC7140"/>
    <w:rsid w:val="1FC15CA9"/>
    <w:rsid w:val="1FCD5D2C"/>
    <w:rsid w:val="1FCD6FEB"/>
    <w:rsid w:val="1FDC2058"/>
    <w:rsid w:val="1FE10954"/>
    <w:rsid w:val="1FE4496A"/>
    <w:rsid w:val="1FEF6BCD"/>
    <w:rsid w:val="1FF22238"/>
    <w:rsid w:val="1FF91AA8"/>
    <w:rsid w:val="1FFC2A34"/>
    <w:rsid w:val="201725C8"/>
    <w:rsid w:val="201C07B1"/>
    <w:rsid w:val="20280331"/>
    <w:rsid w:val="20567E01"/>
    <w:rsid w:val="2069136F"/>
    <w:rsid w:val="20702B9F"/>
    <w:rsid w:val="20711CD8"/>
    <w:rsid w:val="2071669E"/>
    <w:rsid w:val="20764618"/>
    <w:rsid w:val="20832045"/>
    <w:rsid w:val="2084431B"/>
    <w:rsid w:val="208C6B12"/>
    <w:rsid w:val="20937EA1"/>
    <w:rsid w:val="20987265"/>
    <w:rsid w:val="20996FA4"/>
    <w:rsid w:val="20A25486"/>
    <w:rsid w:val="20A45DD5"/>
    <w:rsid w:val="20AD1B5E"/>
    <w:rsid w:val="20B9542D"/>
    <w:rsid w:val="20BB11A5"/>
    <w:rsid w:val="20C100EA"/>
    <w:rsid w:val="20D61B3B"/>
    <w:rsid w:val="20DD736E"/>
    <w:rsid w:val="21011B4B"/>
    <w:rsid w:val="21076199"/>
    <w:rsid w:val="210A4734"/>
    <w:rsid w:val="21132BE0"/>
    <w:rsid w:val="211D59BC"/>
    <w:rsid w:val="21267B6D"/>
    <w:rsid w:val="2128547F"/>
    <w:rsid w:val="21380323"/>
    <w:rsid w:val="213905AF"/>
    <w:rsid w:val="21456F41"/>
    <w:rsid w:val="21491AF3"/>
    <w:rsid w:val="215846DC"/>
    <w:rsid w:val="215A6C10"/>
    <w:rsid w:val="21676C37"/>
    <w:rsid w:val="216B4D30"/>
    <w:rsid w:val="218B517E"/>
    <w:rsid w:val="21985B8F"/>
    <w:rsid w:val="219D777D"/>
    <w:rsid w:val="21B75E11"/>
    <w:rsid w:val="21C07E10"/>
    <w:rsid w:val="21C66F9D"/>
    <w:rsid w:val="21CB18BC"/>
    <w:rsid w:val="21D56B05"/>
    <w:rsid w:val="21DD4628"/>
    <w:rsid w:val="21DE339D"/>
    <w:rsid w:val="21E40288"/>
    <w:rsid w:val="21FD68CA"/>
    <w:rsid w:val="21FE5C20"/>
    <w:rsid w:val="22016034"/>
    <w:rsid w:val="220426D8"/>
    <w:rsid w:val="220F17A9"/>
    <w:rsid w:val="221C14B5"/>
    <w:rsid w:val="221F0D41"/>
    <w:rsid w:val="222A65E3"/>
    <w:rsid w:val="22300410"/>
    <w:rsid w:val="22325DE0"/>
    <w:rsid w:val="2245154D"/>
    <w:rsid w:val="224A6DCD"/>
    <w:rsid w:val="225A114A"/>
    <w:rsid w:val="22666294"/>
    <w:rsid w:val="226D4721"/>
    <w:rsid w:val="227550BE"/>
    <w:rsid w:val="227A70F1"/>
    <w:rsid w:val="227D7C32"/>
    <w:rsid w:val="22873A35"/>
    <w:rsid w:val="228B77D0"/>
    <w:rsid w:val="22956215"/>
    <w:rsid w:val="229B303C"/>
    <w:rsid w:val="22A24511"/>
    <w:rsid w:val="22A55C69"/>
    <w:rsid w:val="22A75E1C"/>
    <w:rsid w:val="22A97AD6"/>
    <w:rsid w:val="22B970C5"/>
    <w:rsid w:val="22BA4990"/>
    <w:rsid w:val="22BA77C3"/>
    <w:rsid w:val="22C87B17"/>
    <w:rsid w:val="22CB3576"/>
    <w:rsid w:val="22CF35EC"/>
    <w:rsid w:val="22D30A28"/>
    <w:rsid w:val="22E20C6B"/>
    <w:rsid w:val="22E449E3"/>
    <w:rsid w:val="22E744D4"/>
    <w:rsid w:val="22F8048F"/>
    <w:rsid w:val="23081180"/>
    <w:rsid w:val="230D70FE"/>
    <w:rsid w:val="230E1B9C"/>
    <w:rsid w:val="231B5F2B"/>
    <w:rsid w:val="231F1321"/>
    <w:rsid w:val="232050A1"/>
    <w:rsid w:val="23287AAC"/>
    <w:rsid w:val="23320939"/>
    <w:rsid w:val="233557D0"/>
    <w:rsid w:val="2338088B"/>
    <w:rsid w:val="23386ADD"/>
    <w:rsid w:val="2342795C"/>
    <w:rsid w:val="23484E2E"/>
    <w:rsid w:val="234E6301"/>
    <w:rsid w:val="236534B0"/>
    <w:rsid w:val="238A05E2"/>
    <w:rsid w:val="23944881"/>
    <w:rsid w:val="239A1546"/>
    <w:rsid w:val="239E5F03"/>
    <w:rsid w:val="23AA4AF7"/>
    <w:rsid w:val="23AB3341"/>
    <w:rsid w:val="23C93BD9"/>
    <w:rsid w:val="23D04F68"/>
    <w:rsid w:val="23D330F8"/>
    <w:rsid w:val="23F27D7B"/>
    <w:rsid w:val="23F650D1"/>
    <w:rsid w:val="240B29E5"/>
    <w:rsid w:val="2416712E"/>
    <w:rsid w:val="241C1F5B"/>
    <w:rsid w:val="241C63FF"/>
    <w:rsid w:val="242104A0"/>
    <w:rsid w:val="242A28CA"/>
    <w:rsid w:val="244A0CA5"/>
    <w:rsid w:val="244A2F6C"/>
    <w:rsid w:val="244D519F"/>
    <w:rsid w:val="24516190"/>
    <w:rsid w:val="24810259"/>
    <w:rsid w:val="2483373B"/>
    <w:rsid w:val="248B7965"/>
    <w:rsid w:val="248C2BD4"/>
    <w:rsid w:val="24A467F5"/>
    <w:rsid w:val="24A9572A"/>
    <w:rsid w:val="24C46536"/>
    <w:rsid w:val="24E22466"/>
    <w:rsid w:val="24EA4490"/>
    <w:rsid w:val="24F37160"/>
    <w:rsid w:val="251E0C4C"/>
    <w:rsid w:val="25242E73"/>
    <w:rsid w:val="253A210A"/>
    <w:rsid w:val="253B28B5"/>
    <w:rsid w:val="253F308E"/>
    <w:rsid w:val="25585215"/>
    <w:rsid w:val="255969F2"/>
    <w:rsid w:val="255D7DA1"/>
    <w:rsid w:val="2560231B"/>
    <w:rsid w:val="25624188"/>
    <w:rsid w:val="25683786"/>
    <w:rsid w:val="256F719E"/>
    <w:rsid w:val="257000DA"/>
    <w:rsid w:val="25714529"/>
    <w:rsid w:val="2577294F"/>
    <w:rsid w:val="25853B30"/>
    <w:rsid w:val="2588301D"/>
    <w:rsid w:val="259721E1"/>
    <w:rsid w:val="25B04B74"/>
    <w:rsid w:val="25B82157"/>
    <w:rsid w:val="25BE76BC"/>
    <w:rsid w:val="25C428AA"/>
    <w:rsid w:val="25CF69C8"/>
    <w:rsid w:val="25D86356"/>
    <w:rsid w:val="25DF5FA3"/>
    <w:rsid w:val="25FF38E2"/>
    <w:rsid w:val="26040EF9"/>
    <w:rsid w:val="26045291"/>
    <w:rsid w:val="26061115"/>
    <w:rsid w:val="26183C9C"/>
    <w:rsid w:val="26192BF6"/>
    <w:rsid w:val="26291DE7"/>
    <w:rsid w:val="263B7010"/>
    <w:rsid w:val="264377CF"/>
    <w:rsid w:val="264D28A0"/>
    <w:rsid w:val="26503910"/>
    <w:rsid w:val="26571970"/>
    <w:rsid w:val="265754CC"/>
    <w:rsid w:val="266F1FBA"/>
    <w:rsid w:val="266F2AE6"/>
    <w:rsid w:val="267539FA"/>
    <w:rsid w:val="26844FFA"/>
    <w:rsid w:val="26865719"/>
    <w:rsid w:val="2689653A"/>
    <w:rsid w:val="26A5422F"/>
    <w:rsid w:val="26C62D55"/>
    <w:rsid w:val="26C80178"/>
    <w:rsid w:val="26C94DFB"/>
    <w:rsid w:val="26F15921"/>
    <w:rsid w:val="270911D3"/>
    <w:rsid w:val="271D560E"/>
    <w:rsid w:val="272C1456"/>
    <w:rsid w:val="27473BD5"/>
    <w:rsid w:val="27532318"/>
    <w:rsid w:val="27541A0C"/>
    <w:rsid w:val="275D221F"/>
    <w:rsid w:val="275E75A5"/>
    <w:rsid w:val="276031D7"/>
    <w:rsid w:val="27673E35"/>
    <w:rsid w:val="27685B63"/>
    <w:rsid w:val="27703533"/>
    <w:rsid w:val="27734588"/>
    <w:rsid w:val="27754B90"/>
    <w:rsid w:val="2786250D"/>
    <w:rsid w:val="278E244E"/>
    <w:rsid w:val="27985C5A"/>
    <w:rsid w:val="27A74232"/>
    <w:rsid w:val="27B20448"/>
    <w:rsid w:val="27BB7CDD"/>
    <w:rsid w:val="27BD50C9"/>
    <w:rsid w:val="27E70989"/>
    <w:rsid w:val="27F51441"/>
    <w:rsid w:val="27F76F67"/>
    <w:rsid w:val="27F8683B"/>
    <w:rsid w:val="27FC2148"/>
    <w:rsid w:val="27FD412F"/>
    <w:rsid w:val="280B15C9"/>
    <w:rsid w:val="28107C62"/>
    <w:rsid w:val="283D3DC4"/>
    <w:rsid w:val="283E0604"/>
    <w:rsid w:val="28490AE5"/>
    <w:rsid w:val="287334D7"/>
    <w:rsid w:val="28754330"/>
    <w:rsid w:val="2882146F"/>
    <w:rsid w:val="28913BEA"/>
    <w:rsid w:val="28926E7D"/>
    <w:rsid w:val="28AC0A36"/>
    <w:rsid w:val="28E53263"/>
    <w:rsid w:val="28ED036A"/>
    <w:rsid w:val="28FB2A87"/>
    <w:rsid w:val="28FC235B"/>
    <w:rsid w:val="290F0EB4"/>
    <w:rsid w:val="29183639"/>
    <w:rsid w:val="292B2014"/>
    <w:rsid w:val="293D4E4D"/>
    <w:rsid w:val="294A1318"/>
    <w:rsid w:val="29500971"/>
    <w:rsid w:val="2952510D"/>
    <w:rsid w:val="2955410B"/>
    <w:rsid w:val="298E56A9"/>
    <w:rsid w:val="298F4974"/>
    <w:rsid w:val="29A0362E"/>
    <w:rsid w:val="29A0718A"/>
    <w:rsid w:val="29A70519"/>
    <w:rsid w:val="29A8516A"/>
    <w:rsid w:val="29B76F33"/>
    <w:rsid w:val="29BD1A8D"/>
    <w:rsid w:val="29CC4423"/>
    <w:rsid w:val="29D07680"/>
    <w:rsid w:val="29D07A70"/>
    <w:rsid w:val="29E12900"/>
    <w:rsid w:val="29E308C1"/>
    <w:rsid w:val="29E67293"/>
    <w:rsid w:val="29EA6B86"/>
    <w:rsid w:val="2A032A23"/>
    <w:rsid w:val="2A1F27A5"/>
    <w:rsid w:val="2A263B34"/>
    <w:rsid w:val="2A2B739C"/>
    <w:rsid w:val="2A331DAD"/>
    <w:rsid w:val="2A3470D1"/>
    <w:rsid w:val="2A4D44F7"/>
    <w:rsid w:val="2A5364DC"/>
    <w:rsid w:val="2A5F2BA2"/>
    <w:rsid w:val="2A6160D4"/>
    <w:rsid w:val="2A6D3CE7"/>
    <w:rsid w:val="2A8231DB"/>
    <w:rsid w:val="2A8645D2"/>
    <w:rsid w:val="2A9B642A"/>
    <w:rsid w:val="2AAD1B5F"/>
    <w:rsid w:val="2AB350C5"/>
    <w:rsid w:val="2AC60E73"/>
    <w:rsid w:val="2AC82E3D"/>
    <w:rsid w:val="2AD31C98"/>
    <w:rsid w:val="2ADB7D7A"/>
    <w:rsid w:val="2ADF3B9E"/>
    <w:rsid w:val="2AEC6883"/>
    <w:rsid w:val="2AF602F3"/>
    <w:rsid w:val="2B0844C4"/>
    <w:rsid w:val="2B10017B"/>
    <w:rsid w:val="2B141BDE"/>
    <w:rsid w:val="2B147E30"/>
    <w:rsid w:val="2B165956"/>
    <w:rsid w:val="2B1E480B"/>
    <w:rsid w:val="2B1F1409"/>
    <w:rsid w:val="2B237311"/>
    <w:rsid w:val="2B2A31A0"/>
    <w:rsid w:val="2B2C517A"/>
    <w:rsid w:val="2B336ED3"/>
    <w:rsid w:val="2B3D5A27"/>
    <w:rsid w:val="2B3F274C"/>
    <w:rsid w:val="2B4577DB"/>
    <w:rsid w:val="2B4C581C"/>
    <w:rsid w:val="2B5D17D7"/>
    <w:rsid w:val="2B696F85"/>
    <w:rsid w:val="2B7859D4"/>
    <w:rsid w:val="2B795EE5"/>
    <w:rsid w:val="2B8672CD"/>
    <w:rsid w:val="2B8C595A"/>
    <w:rsid w:val="2B944ACD"/>
    <w:rsid w:val="2BA54D2A"/>
    <w:rsid w:val="2BB52658"/>
    <w:rsid w:val="2BB92785"/>
    <w:rsid w:val="2BBB02AC"/>
    <w:rsid w:val="2BE33F6C"/>
    <w:rsid w:val="2BE351C7"/>
    <w:rsid w:val="2BE73C53"/>
    <w:rsid w:val="2C047EA4"/>
    <w:rsid w:val="2C084565"/>
    <w:rsid w:val="2C0B2222"/>
    <w:rsid w:val="2C1C33A5"/>
    <w:rsid w:val="2C1F3435"/>
    <w:rsid w:val="2C295F0F"/>
    <w:rsid w:val="2C310BC3"/>
    <w:rsid w:val="2C4643B2"/>
    <w:rsid w:val="2C5551A4"/>
    <w:rsid w:val="2C57495C"/>
    <w:rsid w:val="2C6D5A4A"/>
    <w:rsid w:val="2C7F4C87"/>
    <w:rsid w:val="2C8B4122"/>
    <w:rsid w:val="2C956603"/>
    <w:rsid w:val="2CAB47C4"/>
    <w:rsid w:val="2CBA4A07"/>
    <w:rsid w:val="2CBF201D"/>
    <w:rsid w:val="2CBF79FD"/>
    <w:rsid w:val="2CC338BC"/>
    <w:rsid w:val="2CDF481B"/>
    <w:rsid w:val="2CDF70CF"/>
    <w:rsid w:val="2CE20317"/>
    <w:rsid w:val="2CE77EF5"/>
    <w:rsid w:val="2CF47F19"/>
    <w:rsid w:val="2CF55A3F"/>
    <w:rsid w:val="2CF950D6"/>
    <w:rsid w:val="2D0363AE"/>
    <w:rsid w:val="2D0D454A"/>
    <w:rsid w:val="2D1138FA"/>
    <w:rsid w:val="2D197980"/>
    <w:rsid w:val="2D1C07A2"/>
    <w:rsid w:val="2D2C0D74"/>
    <w:rsid w:val="2D2F7952"/>
    <w:rsid w:val="2D370D43"/>
    <w:rsid w:val="2D381735"/>
    <w:rsid w:val="2D3C71CA"/>
    <w:rsid w:val="2D4B38B1"/>
    <w:rsid w:val="2D6D1319"/>
    <w:rsid w:val="2D7D68E5"/>
    <w:rsid w:val="2D985AB4"/>
    <w:rsid w:val="2DA03ACA"/>
    <w:rsid w:val="2DA57465"/>
    <w:rsid w:val="2DAA375A"/>
    <w:rsid w:val="2DB03F32"/>
    <w:rsid w:val="2DB72175"/>
    <w:rsid w:val="2DB87A1C"/>
    <w:rsid w:val="2DB94CBF"/>
    <w:rsid w:val="2DBC7F26"/>
    <w:rsid w:val="2DBD655D"/>
    <w:rsid w:val="2DCA2453"/>
    <w:rsid w:val="2DD62F6C"/>
    <w:rsid w:val="2DF12E63"/>
    <w:rsid w:val="2DF12E9C"/>
    <w:rsid w:val="2DF162EB"/>
    <w:rsid w:val="2DF6413D"/>
    <w:rsid w:val="2DF80A33"/>
    <w:rsid w:val="2DFE26A1"/>
    <w:rsid w:val="2DFE468E"/>
    <w:rsid w:val="2E020414"/>
    <w:rsid w:val="2E142D75"/>
    <w:rsid w:val="2E177A62"/>
    <w:rsid w:val="2E1848FC"/>
    <w:rsid w:val="2E293BF2"/>
    <w:rsid w:val="2E302B83"/>
    <w:rsid w:val="2E47045D"/>
    <w:rsid w:val="2E4A2626"/>
    <w:rsid w:val="2E5B1C2E"/>
    <w:rsid w:val="2E60104E"/>
    <w:rsid w:val="2E6111A5"/>
    <w:rsid w:val="2E722098"/>
    <w:rsid w:val="2E81758A"/>
    <w:rsid w:val="2E87001F"/>
    <w:rsid w:val="2E8C4181"/>
    <w:rsid w:val="2E9D1E84"/>
    <w:rsid w:val="2ECC4926"/>
    <w:rsid w:val="2EE462F1"/>
    <w:rsid w:val="2EE6563F"/>
    <w:rsid w:val="2EF35FAE"/>
    <w:rsid w:val="2EF91921"/>
    <w:rsid w:val="2EFC3CAA"/>
    <w:rsid w:val="2EFE0BDB"/>
    <w:rsid w:val="2F106B60"/>
    <w:rsid w:val="2F206446"/>
    <w:rsid w:val="2F421882"/>
    <w:rsid w:val="2F445343"/>
    <w:rsid w:val="2F492BAF"/>
    <w:rsid w:val="2F55697B"/>
    <w:rsid w:val="2F5A01EA"/>
    <w:rsid w:val="2F61116A"/>
    <w:rsid w:val="2F6B545A"/>
    <w:rsid w:val="2F6D3359"/>
    <w:rsid w:val="2F8135BA"/>
    <w:rsid w:val="2F9F53D6"/>
    <w:rsid w:val="2FB27C17"/>
    <w:rsid w:val="2FB92D54"/>
    <w:rsid w:val="2FC55B9D"/>
    <w:rsid w:val="2FC811E9"/>
    <w:rsid w:val="2FCF07C9"/>
    <w:rsid w:val="2FD933F6"/>
    <w:rsid w:val="2FE36023"/>
    <w:rsid w:val="2FF86498"/>
    <w:rsid w:val="2FF9271D"/>
    <w:rsid w:val="2FFB336C"/>
    <w:rsid w:val="30073ABF"/>
    <w:rsid w:val="3025488D"/>
    <w:rsid w:val="303E5F52"/>
    <w:rsid w:val="30672485"/>
    <w:rsid w:val="3069608C"/>
    <w:rsid w:val="306B0757"/>
    <w:rsid w:val="308C5D5A"/>
    <w:rsid w:val="30A27C8C"/>
    <w:rsid w:val="30A457B2"/>
    <w:rsid w:val="30A6445A"/>
    <w:rsid w:val="30AA08EF"/>
    <w:rsid w:val="30AE6631"/>
    <w:rsid w:val="30B05F05"/>
    <w:rsid w:val="30C00ECC"/>
    <w:rsid w:val="30C62424"/>
    <w:rsid w:val="30CB0F91"/>
    <w:rsid w:val="30CB2D3F"/>
    <w:rsid w:val="30DE1BA3"/>
    <w:rsid w:val="30F06D06"/>
    <w:rsid w:val="30F20773"/>
    <w:rsid w:val="30F50D45"/>
    <w:rsid w:val="30F641E4"/>
    <w:rsid w:val="30FD3EF5"/>
    <w:rsid w:val="31010E56"/>
    <w:rsid w:val="3102072B"/>
    <w:rsid w:val="310B5831"/>
    <w:rsid w:val="3118734C"/>
    <w:rsid w:val="3140533A"/>
    <w:rsid w:val="31533344"/>
    <w:rsid w:val="31560277"/>
    <w:rsid w:val="3156751D"/>
    <w:rsid w:val="31594CBD"/>
    <w:rsid w:val="315C42DF"/>
    <w:rsid w:val="31603DCF"/>
    <w:rsid w:val="316311C9"/>
    <w:rsid w:val="3163741B"/>
    <w:rsid w:val="3165029E"/>
    <w:rsid w:val="31681D2F"/>
    <w:rsid w:val="31692558"/>
    <w:rsid w:val="3175714F"/>
    <w:rsid w:val="318952EE"/>
    <w:rsid w:val="318B24CE"/>
    <w:rsid w:val="31AA6DF8"/>
    <w:rsid w:val="31BA22FF"/>
    <w:rsid w:val="31BB7257"/>
    <w:rsid w:val="31C869A7"/>
    <w:rsid w:val="31CF079E"/>
    <w:rsid w:val="31D200A0"/>
    <w:rsid w:val="31DC0F7C"/>
    <w:rsid w:val="32016DBC"/>
    <w:rsid w:val="320649ED"/>
    <w:rsid w:val="3213059E"/>
    <w:rsid w:val="32321DDA"/>
    <w:rsid w:val="32391589"/>
    <w:rsid w:val="323C0572"/>
    <w:rsid w:val="323C5A5D"/>
    <w:rsid w:val="32486254"/>
    <w:rsid w:val="324F5756"/>
    <w:rsid w:val="3254650A"/>
    <w:rsid w:val="326A117D"/>
    <w:rsid w:val="32747406"/>
    <w:rsid w:val="327F0285"/>
    <w:rsid w:val="3281511E"/>
    <w:rsid w:val="3281624F"/>
    <w:rsid w:val="32885138"/>
    <w:rsid w:val="328F5FEE"/>
    <w:rsid w:val="32990D51"/>
    <w:rsid w:val="329B4993"/>
    <w:rsid w:val="32A45FDC"/>
    <w:rsid w:val="32A9531C"/>
    <w:rsid w:val="32AD5CB7"/>
    <w:rsid w:val="32B417E8"/>
    <w:rsid w:val="32C22265"/>
    <w:rsid w:val="32D15800"/>
    <w:rsid w:val="32DB74D3"/>
    <w:rsid w:val="32DD7580"/>
    <w:rsid w:val="32F00174"/>
    <w:rsid w:val="32FB3683"/>
    <w:rsid w:val="33001962"/>
    <w:rsid w:val="33022C64"/>
    <w:rsid w:val="33180A41"/>
    <w:rsid w:val="331C2384"/>
    <w:rsid w:val="33244988"/>
    <w:rsid w:val="333022C1"/>
    <w:rsid w:val="333746BC"/>
    <w:rsid w:val="33377E29"/>
    <w:rsid w:val="333A55DB"/>
    <w:rsid w:val="333E37A9"/>
    <w:rsid w:val="33437504"/>
    <w:rsid w:val="33460DA3"/>
    <w:rsid w:val="335C6818"/>
    <w:rsid w:val="33707BCD"/>
    <w:rsid w:val="337771AE"/>
    <w:rsid w:val="338C505F"/>
    <w:rsid w:val="3390201E"/>
    <w:rsid w:val="33925D96"/>
    <w:rsid w:val="339715FE"/>
    <w:rsid w:val="339C21EF"/>
    <w:rsid w:val="33A1247D"/>
    <w:rsid w:val="33A74395"/>
    <w:rsid w:val="33A94FEB"/>
    <w:rsid w:val="33C323F3"/>
    <w:rsid w:val="33CB529E"/>
    <w:rsid w:val="33E12879"/>
    <w:rsid w:val="33FD03FF"/>
    <w:rsid w:val="33FE342B"/>
    <w:rsid w:val="34164C19"/>
    <w:rsid w:val="3417219C"/>
    <w:rsid w:val="342B1D46"/>
    <w:rsid w:val="342F4E2C"/>
    <w:rsid w:val="342F656E"/>
    <w:rsid w:val="343B09EF"/>
    <w:rsid w:val="345D18AC"/>
    <w:rsid w:val="34675474"/>
    <w:rsid w:val="346E1433"/>
    <w:rsid w:val="34737EE5"/>
    <w:rsid w:val="34761214"/>
    <w:rsid w:val="349B6ECC"/>
    <w:rsid w:val="34AC732B"/>
    <w:rsid w:val="34B80E50"/>
    <w:rsid w:val="34C32558"/>
    <w:rsid w:val="34C603ED"/>
    <w:rsid w:val="34D85707"/>
    <w:rsid w:val="34EA0618"/>
    <w:rsid w:val="35043866"/>
    <w:rsid w:val="35064C8D"/>
    <w:rsid w:val="35091305"/>
    <w:rsid w:val="352E7146"/>
    <w:rsid w:val="35433EF8"/>
    <w:rsid w:val="354E3242"/>
    <w:rsid w:val="354E3654"/>
    <w:rsid w:val="355257E8"/>
    <w:rsid w:val="355517CF"/>
    <w:rsid w:val="35610116"/>
    <w:rsid w:val="356A1C52"/>
    <w:rsid w:val="356E358F"/>
    <w:rsid w:val="35774559"/>
    <w:rsid w:val="357C0AAC"/>
    <w:rsid w:val="357D12FE"/>
    <w:rsid w:val="35812566"/>
    <w:rsid w:val="358931C8"/>
    <w:rsid w:val="358E6A31"/>
    <w:rsid w:val="359070B4"/>
    <w:rsid w:val="35CC2451"/>
    <w:rsid w:val="35CD57AB"/>
    <w:rsid w:val="36102A79"/>
    <w:rsid w:val="36126D79"/>
    <w:rsid w:val="362F5B1E"/>
    <w:rsid w:val="36426286"/>
    <w:rsid w:val="36486BE0"/>
    <w:rsid w:val="36494334"/>
    <w:rsid w:val="364A0BAA"/>
    <w:rsid w:val="366B3579"/>
    <w:rsid w:val="367125DA"/>
    <w:rsid w:val="367A740F"/>
    <w:rsid w:val="367B4E79"/>
    <w:rsid w:val="367E325A"/>
    <w:rsid w:val="36897485"/>
    <w:rsid w:val="3690323D"/>
    <w:rsid w:val="36904DEC"/>
    <w:rsid w:val="369462C9"/>
    <w:rsid w:val="36A302BA"/>
    <w:rsid w:val="36AA5AEC"/>
    <w:rsid w:val="36AE36D7"/>
    <w:rsid w:val="36AF0414"/>
    <w:rsid w:val="36B45DB4"/>
    <w:rsid w:val="36C44AC6"/>
    <w:rsid w:val="36E54FD9"/>
    <w:rsid w:val="36EB3750"/>
    <w:rsid w:val="36F12EB4"/>
    <w:rsid w:val="36F472C7"/>
    <w:rsid w:val="36F7183E"/>
    <w:rsid w:val="37145079"/>
    <w:rsid w:val="3715740A"/>
    <w:rsid w:val="371603BD"/>
    <w:rsid w:val="371C0798"/>
    <w:rsid w:val="371F2036"/>
    <w:rsid w:val="37305FF2"/>
    <w:rsid w:val="373072BB"/>
    <w:rsid w:val="3757357E"/>
    <w:rsid w:val="37647A40"/>
    <w:rsid w:val="376C682A"/>
    <w:rsid w:val="37740273"/>
    <w:rsid w:val="377917AC"/>
    <w:rsid w:val="378354D0"/>
    <w:rsid w:val="378620B5"/>
    <w:rsid w:val="378A405E"/>
    <w:rsid w:val="37931B4D"/>
    <w:rsid w:val="3793313F"/>
    <w:rsid w:val="379D2F5B"/>
    <w:rsid w:val="37B666A2"/>
    <w:rsid w:val="37B8040B"/>
    <w:rsid w:val="37D07C17"/>
    <w:rsid w:val="37D44A2E"/>
    <w:rsid w:val="37DB14DA"/>
    <w:rsid w:val="37DC7264"/>
    <w:rsid w:val="37DF5322"/>
    <w:rsid w:val="37E27BD4"/>
    <w:rsid w:val="37E32842"/>
    <w:rsid w:val="37E81A93"/>
    <w:rsid w:val="37EC5820"/>
    <w:rsid w:val="37F14A2B"/>
    <w:rsid w:val="37F708BD"/>
    <w:rsid w:val="37F7264B"/>
    <w:rsid w:val="37FB1AC7"/>
    <w:rsid w:val="37FD48ED"/>
    <w:rsid w:val="380077A0"/>
    <w:rsid w:val="381006A8"/>
    <w:rsid w:val="3814321B"/>
    <w:rsid w:val="381A403E"/>
    <w:rsid w:val="381B26A8"/>
    <w:rsid w:val="384440F5"/>
    <w:rsid w:val="38471845"/>
    <w:rsid w:val="384F64F6"/>
    <w:rsid w:val="385E093C"/>
    <w:rsid w:val="386341A5"/>
    <w:rsid w:val="386F2B4A"/>
    <w:rsid w:val="387D5266"/>
    <w:rsid w:val="388E7474"/>
    <w:rsid w:val="389524E8"/>
    <w:rsid w:val="38AA5930"/>
    <w:rsid w:val="38B12CB0"/>
    <w:rsid w:val="38B4106D"/>
    <w:rsid w:val="38D013C8"/>
    <w:rsid w:val="38D17360"/>
    <w:rsid w:val="38D71131"/>
    <w:rsid w:val="38ED4B13"/>
    <w:rsid w:val="38FA125D"/>
    <w:rsid w:val="393022D9"/>
    <w:rsid w:val="393A1311"/>
    <w:rsid w:val="39416530"/>
    <w:rsid w:val="39567866"/>
    <w:rsid w:val="395C1320"/>
    <w:rsid w:val="395E4617"/>
    <w:rsid w:val="396039FE"/>
    <w:rsid w:val="396B4DB7"/>
    <w:rsid w:val="397D4DF2"/>
    <w:rsid w:val="3993696C"/>
    <w:rsid w:val="399860D0"/>
    <w:rsid w:val="399D3EBE"/>
    <w:rsid w:val="39A8206F"/>
    <w:rsid w:val="39A83612"/>
    <w:rsid w:val="39AB7112"/>
    <w:rsid w:val="39C02B76"/>
    <w:rsid w:val="39E44E71"/>
    <w:rsid w:val="39E5309E"/>
    <w:rsid w:val="39F31088"/>
    <w:rsid w:val="39FC040D"/>
    <w:rsid w:val="3A1525B8"/>
    <w:rsid w:val="3A156427"/>
    <w:rsid w:val="3A165BB9"/>
    <w:rsid w:val="3A2D5BC5"/>
    <w:rsid w:val="3A637E32"/>
    <w:rsid w:val="3A6A35F5"/>
    <w:rsid w:val="3A7461F5"/>
    <w:rsid w:val="3A82110C"/>
    <w:rsid w:val="3A844AFD"/>
    <w:rsid w:val="3A8A709C"/>
    <w:rsid w:val="3A8B3BCC"/>
    <w:rsid w:val="3A8F3143"/>
    <w:rsid w:val="3A9248CD"/>
    <w:rsid w:val="3A944AE9"/>
    <w:rsid w:val="3A9B19D4"/>
    <w:rsid w:val="3AAE1BAE"/>
    <w:rsid w:val="3AB111F7"/>
    <w:rsid w:val="3AB605BC"/>
    <w:rsid w:val="3AB833F9"/>
    <w:rsid w:val="3ACB3D1E"/>
    <w:rsid w:val="3ACD1DA9"/>
    <w:rsid w:val="3AE80991"/>
    <w:rsid w:val="3B062934"/>
    <w:rsid w:val="3B087194"/>
    <w:rsid w:val="3B0A3B62"/>
    <w:rsid w:val="3B0C15F9"/>
    <w:rsid w:val="3B0D12CE"/>
    <w:rsid w:val="3B2A61EB"/>
    <w:rsid w:val="3B304812"/>
    <w:rsid w:val="3B331C0C"/>
    <w:rsid w:val="3B375F3D"/>
    <w:rsid w:val="3B3C65B6"/>
    <w:rsid w:val="3B4246A6"/>
    <w:rsid w:val="3B4413D5"/>
    <w:rsid w:val="3B6825A1"/>
    <w:rsid w:val="3B6C511E"/>
    <w:rsid w:val="3B702E61"/>
    <w:rsid w:val="3B715FBA"/>
    <w:rsid w:val="3B787F67"/>
    <w:rsid w:val="3B7F4E52"/>
    <w:rsid w:val="3B893F22"/>
    <w:rsid w:val="3B91269B"/>
    <w:rsid w:val="3B9B79B4"/>
    <w:rsid w:val="3BA448B8"/>
    <w:rsid w:val="3BAB7650"/>
    <w:rsid w:val="3BD01B51"/>
    <w:rsid w:val="3BD319CC"/>
    <w:rsid w:val="3BE86E9B"/>
    <w:rsid w:val="3C004876"/>
    <w:rsid w:val="3C0161AE"/>
    <w:rsid w:val="3C0A47E2"/>
    <w:rsid w:val="3C125CC6"/>
    <w:rsid w:val="3C145EE2"/>
    <w:rsid w:val="3C17152E"/>
    <w:rsid w:val="3C1E0B0E"/>
    <w:rsid w:val="3C1E28BD"/>
    <w:rsid w:val="3C2D6464"/>
    <w:rsid w:val="3C2F6AB3"/>
    <w:rsid w:val="3C4936B2"/>
    <w:rsid w:val="3C62685D"/>
    <w:rsid w:val="3C747F52"/>
    <w:rsid w:val="3C782D33"/>
    <w:rsid w:val="3C7A740B"/>
    <w:rsid w:val="3C8B42AF"/>
    <w:rsid w:val="3CA01523"/>
    <w:rsid w:val="3CA1529C"/>
    <w:rsid w:val="3CA44787"/>
    <w:rsid w:val="3CA54D8C"/>
    <w:rsid w:val="3CAD1E92"/>
    <w:rsid w:val="3CB10787"/>
    <w:rsid w:val="3CBE7BFC"/>
    <w:rsid w:val="3CC82828"/>
    <w:rsid w:val="3CC9611F"/>
    <w:rsid w:val="3CCE6FF7"/>
    <w:rsid w:val="3CCF2E90"/>
    <w:rsid w:val="3CD573AA"/>
    <w:rsid w:val="3CD65C4C"/>
    <w:rsid w:val="3CDD0A65"/>
    <w:rsid w:val="3CFE62E6"/>
    <w:rsid w:val="3D0221DE"/>
    <w:rsid w:val="3D09356D"/>
    <w:rsid w:val="3D09599C"/>
    <w:rsid w:val="3D100A5B"/>
    <w:rsid w:val="3D1436F3"/>
    <w:rsid w:val="3D176EBA"/>
    <w:rsid w:val="3D1C1345"/>
    <w:rsid w:val="3D2C58AB"/>
    <w:rsid w:val="3D32128F"/>
    <w:rsid w:val="3D340533"/>
    <w:rsid w:val="3D5055AA"/>
    <w:rsid w:val="3D51281E"/>
    <w:rsid w:val="3D530AC9"/>
    <w:rsid w:val="3D567E34"/>
    <w:rsid w:val="3D583BAC"/>
    <w:rsid w:val="3D624A2B"/>
    <w:rsid w:val="3D65276D"/>
    <w:rsid w:val="3D6A2344"/>
    <w:rsid w:val="3D84578F"/>
    <w:rsid w:val="3D87439A"/>
    <w:rsid w:val="3D8928C8"/>
    <w:rsid w:val="3D8E3A72"/>
    <w:rsid w:val="3D9A5AC9"/>
    <w:rsid w:val="3D9F68B6"/>
    <w:rsid w:val="3DAF5796"/>
    <w:rsid w:val="3DAF71B4"/>
    <w:rsid w:val="3DB42DAD"/>
    <w:rsid w:val="3DBB1AA6"/>
    <w:rsid w:val="3DBB413B"/>
    <w:rsid w:val="3DC82A90"/>
    <w:rsid w:val="3DD84CED"/>
    <w:rsid w:val="3DDA0A45"/>
    <w:rsid w:val="3DE230A0"/>
    <w:rsid w:val="3DE41B72"/>
    <w:rsid w:val="3DE41C1D"/>
    <w:rsid w:val="3DEB314D"/>
    <w:rsid w:val="3DED081E"/>
    <w:rsid w:val="3DF76196"/>
    <w:rsid w:val="3E0A1D77"/>
    <w:rsid w:val="3E111FAD"/>
    <w:rsid w:val="3E127CF4"/>
    <w:rsid w:val="3E13127B"/>
    <w:rsid w:val="3E1A3557"/>
    <w:rsid w:val="3E1A70B4"/>
    <w:rsid w:val="3E2148E6"/>
    <w:rsid w:val="3E214905"/>
    <w:rsid w:val="3E2F439F"/>
    <w:rsid w:val="3E3828B1"/>
    <w:rsid w:val="3E39541C"/>
    <w:rsid w:val="3E3E323C"/>
    <w:rsid w:val="3E465190"/>
    <w:rsid w:val="3E594080"/>
    <w:rsid w:val="3E5F540E"/>
    <w:rsid w:val="3E641DA7"/>
    <w:rsid w:val="3E6B7899"/>
    <w:rsid w:val="3E760CCA"/>
    <w:rsid w:val="3E7828A1"/>
    <w:rsid w:val="3E942EC5"/>
    <w:rsid w:val="3E96225C"/>
    <w:rsid w:val="3E9A2D1E"/>
    <w:rsid w:val="3E9C21BE"/>
    <w:rsid w:val="3EA94A54"/>
    <w:rsid w:val="3EC7317F"/>
    <w:rsid w:val="3EC906C4"/>
    <w:rsid w:val="3ECB6CF8"/>
    <w:rsid w:val="3EDE6AB1"/>
    <w:rsid w:val="3EE4060A"/>
    <w:rsid w:val="3EEE3F97"/>
    <w:rsid w:val="3EFF14A5"/>
    <w:rsid w:val="3F012022"/>
    <w:rsid w:val="3F0A537A"/>
    <w:rsid w:val="3F211CC2"/>
    <w:rsid w:val="3F4E1E62"/>
    <w:rsid w:val="3F4E4D6C"/>
    <w:rsid w:val="3F5D7400"/>
    <w:rsid w:val="3F5D7549"/>
    <w:rsid w:val="3F681218"/>
    <w:rsid w:val="3F693AA6"/>
    <w:rsid w:val="3F79605C"/>
    <w:rsid w:val="3F7B1942"/>
    <w:rsid w:val="3F9251CA"/>
    <w:rsid w:val="3FA25C38"/>
    <w:rsid w:val="3FA7706D"/>
    <w:rsid w:val="3FB928FC"/>
    <w:rsid w:val="3FBC4C4A"/>
    <w:rsid w:val="3FBE5D9F"/>
    <w:rsid w:val="3FC41CDB"/>
    <w:rsid w:val="3FD414E4"/>
    <w:rsid w:val="3FDD483D"/>
    <w:rsid w:val="3FF35E0E"/>
    <w:rsid w:val="40016AD4"/>
    <w:rsid w:val="40061FE5"/>
    <w:rsid w:val="40093884"/>
    <w:rsid w:val="40126313"/>
    <w:rsid w:val="40130557"/>
    <w:rsid w:val="40196EE6"/>
    <w:rsid w:val="403326AF"/>
    <w:rsid w:val="40356427"/>
    <w:rsid w:val="40556AC9"/>
    <w:rsid w:val="405C0D4E"/>
    <w:rsid w:val="406B61FC"/>
    <w:rsid w:val="40771CFE"/>
    <w:rsid w:val="40783FDB"/>
    <w:rsid w:val="407E7215"/>
    <w:rsid w:val="40B77904"/>
    <w:rsid w:val="40C37486"/>
    <w:rsid w:val="40D21EC7"/>
    <w:rsid w:val="40D42292"/>
    <w:rsid w:val="40DA6FCE"/>
    <w:rsid w:val="40DB7F40"/>
    <w:rsid w:val="40F34D59"/>
    <w:rsid w:val="40FA52E7"/>
    <w:rsid w:val="410228FE"/>
    <w:rsid w:val="4106669F"/>
    <w:rsid w:val="41250249"/>
    <w:rsid w:val="41270465"/>
    <w:rsid w:val="41393CF5"/>
    <w:rsid w:val="4142704D"/>
    <w:rsid w:val="41466412"/>
    <w:rsid w:val="415648A7"/>
    <w:rsid w:val="416679D3"/>
    <w:rsid w:val="4168282C"/>
    <w:rsid w:val="41837EB5"/>
    <w:rsid w:val="418807D8"/>
    <w:rsid w:val="418B3F42"/>
    <w:rsid w:val="41A25D3E"/>
    <w:rsid w:val="41A43864"/>
    <w:rsid w:val="41A53138"/>
    <w:rsid w:val="41D103D1"/>
    <w:rsid w:val="41D34149"/>
    <w:rsid w:val="41DA2351"/>
    <w:rsid w:val="41E06866"/>
    <w:rsid w:val="41E24F5D"/>
    <w:rsid w:val="41E719A3"/>
    <w:rsid w:val="41EE4ADF"/>
    <w:rsid w:val="41F370F8"/>
    <w:rsid w:val="41FA7928"/>
    <w:rsid w:val="41FF6551"/>
    <w:rsid w:val="420D11ED"/>
    <w:rsid w:val="422624CB"/>
    <w:rsid w:val="42324373"/>
    <w:rsid w:val="423F358D"/>
    <w:rsid w:val="42446DF5"/>
    <w:rsid w:val="424D6740"/>
    <w:rsid w:val="424E72DF"/>
    <w:rsid w:val="425270EF"/>
    <w:rsid w:val="425F40DA"/>
    <w:rsid w:val="42666D6B"/>
    <w:rsid w:val="42744BA0"/>
    <w:rsid w:val="42756FAE"/>
    <w:rsid w:val="42774755"/>
    <w:rsid w:val="42870A90"/>
    <w:rsid w:val="42AC7014"/>
    <w:rsid w:val="42B34630"/>
    <w:rsid w:val="42B555FD"/>
    <w:rsid w:val="42B86E9B"/>
    <w:rsid w:val="42C13FA2"/>
    <w:rsid w:val="42CE4911"/>
    <w:rsid w:val="42DC5D14"/>
    <w:rsid w:val="42E31E40"/>
    <w:rsid w:val="42FA336E"/>
    <w:rsid w:val="430F2F5F"/>
    <w:rsid w:val="43140575"/>
    <w:rsid w:val="43291707"/>
    <w:rsid w:val="432F1853"/>
    <w:rsid w:val="43346CE3"/>
    <w:rsid w:val="434A043B"/>
    <w:rsid w:val="434C7D5E"/>
    <w:rsid w:val="434E0DAB"/>
    <w:rsid w:val="435C3395"/>
    <w:rsid w:val="435E4682"/>
    <w:rsid w:val="435E5C94"/>
    <w:rsid w:val="436231D7"/>
    <w:rsid w:val="43694900"/>
    <w:rsid w:val="437B3976"/>
    <w:rsid w:val="43800213"/>
    <w:rsid w:val="43811983"/>
    <w:rsid w:val="43853221"/>
    <w:rsid w:val="4386768E"/>
    <w:rsid w:val="43A23DD3"/>
    <w:rsid w:val="43B546B1"/>
    <w:rsid w:val="43C05784"/>
    <w:rsid w:val="43D17C36"/>
    <w:rsid w:val="43D93BDD"/>
    <w:rsid w:val="43DB148D"/>
    <w:rsid w:val="43DC4842"/>
    <w:rsid w:val="43DD12AF"/>
    <w:rsid w:val="43E25370"/>
    <w:rsid w:val="43EC2A9D"/>
    <w:rsid w:val="44123821"/>
    <w:rsid w:val="44191BBB"/>
    <w:rsid w:val="442935E5"/>
    <w:rsid w:val="44347309"/>
    <w:rsid w:val="443B7D84"/>
    <w:rsid w:val="44450C02"/>
    <w:rsid w:val="44492726"/>
    <w:rsid w:val="444C39D2"/>
    <w:rsid w:val="445F2722"/>
    <w:rsid w:val="44605972"/>
    <w:rsid w:val="446465CA"/>
    <w:rsid w:val="446D11CE"/>
    <w:rsid w:val="44737242"/>
    <w:rsid w:val="44797A17"/>
    <w:rsid w:val="447D214A"/>
    <w:rsid w:val="447F5EC2"/>
    <w:rsid w:val="448B2CF2"/>
    <w:rsid w:val="448E4357"/>
    <w:rsid w:val="44986F84"/>
    <w:rsid w:val="44A56409"/>
    <w:rsid w:val="44AD0C81"/>
    <w:rsid w:val="44B30262"/>
    <w:rsid w:val="44BA514C"/>
    <w:rsid w:val="44BD69EB"/>
    <w:rsid w:val="44BE7A04"/>
    <w:rsid w:val="44BF2763"/>
    <w:rsid w:val="44C668DD"/>
    <w:rsid w:val="44E53F39"/>
    <w:rsid w:val="44E65F41"/>
    <w:rsid w:val="44E67CEF"/>
    <w:rsid w:val="44EE129A"/>
    <w:rsid w:val="44F26096"/>
    <w:rsid w:val="44FC2591"/>
    <w:rsid w:val="44FC39B7"/>
    <w:rsid w:val="45072E44"/>
    <w:rsid w:val="450C27BA"/>
    <w:rsid w:val="451F3201"/>
    <w:rsid w:val="4528638E"/>
    <w:rsid w:val="453E3FCF"/>
    <w:rsid w:val="454F1D39"/>
    <w:rsid w:val="454F446E"/>
    <w:rsid w:val="455455A1"/>
    <w:rsid w:val="45570670"/>
    <w:rsid w:val="45570BED"/>
    <w:rsid w:val="45617CBE"/>
    <w:rsid w:val="45877724"/>
    <w:rsid w:val="458E46B3"/>
    <w:rsid w:val="458F1038"/>
    <w:rsid w:val="45912351"/>
    <w:rsid w:val="4599441D"/>
    <w:rsid w:val="459E6D47"/>
    <w:rsid w:val="45AC0F39"/>
    <w:rsid w:val="45C64F3E"/>
    <w:rsid w:val="45C81AEB"/>
    <w:rsid w:val="45C862BC"/>
    <w:rsid w:val="45CA00A4"/>
    <w:rsid w:val="45D95AA6"/>
    <w:rsid w:val="45ED75B0"/>
    <w:rsid w:val="45F14BBF"/>
    <w:rsid w:val="45F96148"/>
    <w:rsid w:val="45FE3D6B"/>
    <w:rsid w:val="460B183E"/>
    <w:rsid w:val="46195EA3"/>
    <w:rsid w:val="462907DC"/>
    <w:rsid w:val="462C207A"/>
    <w:rsid w:val="464A0752"/>
    <w:rsid w:val="464A534D"/>
    <w:rsid w:val="464F41D5"/>
    <w:rsid w:val="46536E51"/>
    <w:rsid w:val="4654512D"/>
    <w:rsid w:val="465C7130"/>
    <w:rsid w:val="466C02F7"/>
    <w:rsid w:val="4672441D"/>
    <w:rsid w:val="4682613E"/>
    <w:rsid w:val="46843C64"/>
    <w:rsid w:val="468562F9"/>
    <w:rsid w:val="468D3DCB"/>
    <w:rsid w:val="468E7CFF"/>
    <w:rsid w:val="469872FC"/>
    <w:rsid w:val="469F1298"/>
    <w:rsid w:val="46BF6A4A"/>
    <w:rsid w:val="46D70E4D"/>
    <w:rsid w:val="46E42955"/>
    <w:rsid w:val="46EA5CC9"/>
    <w:rsid w:val="46EE37D3"/>
    <w:rsid w:val="46F43381"/>
    <w:rsid w:val="46F4765C"/>
    <w:rsid w:val="46F76FDC"/>
    <w:rsid w:val="46FD09E2"/>
    <w:rsid w:val="46FF61D0"/>
    <w:rsid w:val="4707219F"/>
    <w:rsid w:val="47264D1B"/>
    <w:rsid w:val="47451645"/>
    <w:rsid w:val="47462CC7"/>
    <w:rsid w:val="47541888"/>
    <w:rsid w:val="4761585B"/>
    <w:rsid w:val="47783642"/>
    <w:rsid w:val="47875FA1"/>
    <w:rsid w:val="47990C52"/>
    <w:rsid w:val="479951CA"/>
    <w:rsid w:val="479E76E4"/>
    <w:rsid w:val="47A20403"/>
    <w:rsid w:val="47A65E5C"/>
    <w:rsid w:val="47A7367E"/>
    <w:rsid w:val="47AB6FCE"/>
    <w:rsid w:val="47BA4746"/>
    <w:rsid w:val="47D622A1"/>
    <w:rsid w:val="47DB5B06"/>
    <w:rsid w:val="47E10C42"/>
    <w:rsid w:val="47F71E45"/>
    <w:rsid w:val="4800556C"/>
    <w:rsid w:val="48007A58"/>
    <w:rsid w:val="48102766"/>
    <w:rsid w:val="48180B08"/>
    <w:rsid w:val="48201D5E"/>
    <w:rsid w:val="483A5C59"/>
    <w:rsid w:val="484A4A39"/>
    <w:rsid w:val="48517CFF"/>
    <w:rsid w:val="48563D3B"/>
    <w:rsid w:val="485F5E43"/>
    <w:rsid w:val="48706B15"/>
    <w:rsid w:val="48725E56"/>
    <w:rsid w:val="4879363B"/>
    <w:rsid w:val="487B1097"/>
    <w:rsid w:val="489278B0"/>
    <w:rsid w:val="48967A43"/>
    <w:rsid w:val="489E6073"/>
    <w:rsid w:val="48A86E60"/>
    <w:rsid w:val="48AA0090"/>
    <w:rsid w:val="48AB372A"/>
    <w:rsid w:val="48B14AB8"/>
    <w:rsid w:val="48B56F6C"/>
    <w:rsid w:val="48B67B99"/>
    <w:rsid w:val="48BD16AF"/>
    <w:rsid w:val="48BD506A"/>
    <w:rsid w:val="48BE2FC1"/>
    <w:rsid w:val="48CC59F3"/>
    <w:rsid w:val="48D73775"/>
    <w:rsid w:val="48E96A6B"/>
    <w:rsid w:val="48EB1F93"/>
    <w:rsid w:val="48EE3617"/>
    <w:rsid w:val="48F12466"/>
    <w:rsid w:val="48FA020D"/>
    <w:rsid w:val="490270C2"/>
    <w:rsid w:val="49035C1C"/>
    <w:rsid w:val="49060960"/>
    <w:rsid w:val="490948F4"/>
    <w:rsid w:val="490D74AE"/>
    <w:rsid w:val="49105C83"/>
    <w:rsid w:val="492E7AC5"/>
    <w:rsid w:val="49301E81"/>
    <w:rsid w:val="493F2C25"/>
    <w:rsid w:val="49466876"/>
    <w:rsid w:val="49723868"/>
    <w:rsid w:val="49814AF7"/>
    <w:rsid w:val="4990255D"/>
    <w:rsid w:val="49916E11"/>
    <w:rsid w:val="499B4774"/>
    <w:rsid w:val="49A61089"/>
    <w:rsid w:val="49BE748D"/>
    <w:rsid w:val="49CF1508"/>
    <w:rsid w:val="49DA6BA1"/>
    <w:rsid w:val="49EF3AEA"/>
    <w:rsid w:val="49F27972"/>
    <w:rsid w:val="49F66C27"/>
    <w:rsid w:val="49F8312B"/>
    <w:rsid w:val="49FC5E8E"/>
    <w:rsid w:val="4A02381D"/>
    <w:rsid w:val="4A1277D9"/>
    <w:rsid w:val="4A1A2F15"/>
    <w:rsid w:val="4A1E07F6"/>
    <w:rsid w:val="4A282AD1"/>
    <w:rsid w:val="4A2D6DBA"/>
    <w:rsid w:val="4A303FA5"/>
    <w:rsid w:val="4A351CF9"/>
    <w:rsid w:val="4A3F2126"/>
    <w:rsid w:val="4A443E36"/>
    <w:rsid w:val="4A487725"/>
    <w:rsid w:val="4A507696"/>
    <w:rsid w:val="4A520E1F"/>
    <w:rsid w:val="4A555EA2"/>
    <w:rsid w:val="4A58508A"/>
    <w:rsid w:val="4A5F04DC"/>
    <w:rsid w:val="4A6B1F87"/>
    <w:rsid w:val="4A8A46EE"/>
    <w:rsid w:val="4A8C758B"/>
    <w:rsid w:val="4A8E3303"/>
    <w:rsid w:val="4A925EB3"/>
    <w:rsid w:val="4A941775"/>
    <w:rsid w:val="4A995F63"/>
    <w:rsid w:val="4A9B77CE"/>
    <w:rsid w:val="4AA173BA"/>
    <w:rsid w:val="4AA74645"/>
    <w:rsid w:val="4AB50890"/>
    <w:rsid w:val="4AB663B6"/>
    <w:rsid w:val="4AE10CC5"/>
    <w:rsid w:val="4AF018C8"/>
    <w:rsid w:val="4AFA500A"/>
    <w:rsid w:val="4AFF7D5D"/>
    <w:rsid w:val="4B0D352A"/>
    <w:rsid w:val="4B243E1C"/>
    <w:rsid w:val="4B2477C4"/>
    <w:rsid w:val="4B296B88"/>
    <w:rsid w:val="4B602854"/>
    <w:rsid w:val="4B6A5A4A"/>
    <w:rsid w:val="4B6E4E33"/>
    <w:rsid w:val="4B7E1A91"/>
    <w:rsid w:val="4B851B8C"/>
    <w:rsid w:val="4B895879"/>
    <w:rsid w:val="4B951644"/>
    <w:rsid w:val="4BA97E1E"/>
    <w:rsid w:val="4BBC5C4E"/>
    <w:rsid w:val="4BC47B8A"/>
    <w:rsid w:val="4BD8788C"/>
    <w:rsid w:val="4BE551A5"/>
    <w:rsid w:val="4BFC4BE5"/>
    <w:rsid w:val="4C025B66"/>
    <w:rsid w:val="4C091D74"/>
    <w:rsid w:val="4C1433C9"/>
    <w:rsid w:val="4C145C5C"/>
    <w:rsid w:val="4C196AB6"/>
    <w:rsid w:val="4C1E2465"/>
    <w:rsid w:val="4C2423A9"/>
    <w:rsid w:val="4C2A2695"/>
    <w:rsid w:val="4C2E2127"/>
    <w:rsid w:val="4C343A36"/>
    <w:rsid w:val="4C373527"/>
    <w:rsid w:val="4C3B55CC"/>
    <w:rsid w:val="4C547C35"/>
    <w:rsid w:val="4C7668EC"/>
    <w:rsid w:val="4C786019"/>
    <w:rsid w:val="4C831EDD"/>
    <w:rsid w:val="4C912C37"/>
    <w:rsid w:val="4C9E3B46"/>
    <w:rsid w:val="4CA46E0E"/>
    <w:rsid w:val="4CB84667"/>
    <w:rsid w:val="4CC36B68"/>
    <w:rsid w:val="4CDE76B3"/>
    <w:rsid w:val="4CFA6A2E"/>
    <w:rsid w:val="4D0101DE"/>
    <w:rsid w:val="4D0553D3"/>
    <w:rsid w:val="4D0A3F76"/>
    <w:rsid w:val="4D1A4185"/>
    <w:rsid w:val="4D1B69A4"/>
    <w:rsid w:val="4D2C2C5D"/>
    <w:rsid w:val="4D2F0C0B"/>
    <w:rsid w:val="4D4D53C5"/>
    <w:rsid w:val="4D4E5624"/>
    <w:rsid w:val="4D844549"/>
    <w:rsid w:val="4D901140"/>
    <w:rsid w:val="4D922D30"/>
    <w:rsid w:val="4D994499"/>
    <w:rsid w:val="4DB61CCA"/>
    <w:rsid w:val="4DBA7D4C"/>
    <w:rsid w:val="4DBD6033"/>
    <w:rsid w:val="4DC02676"/>
    <w:rsid w:val="4DC04C80"/>
    <w:rsid w:val="4DC11F6C"/>
    <w:rsid w:val="4DDF3E76"/>
    <w:rsid w:val="4DE17BEE"/>
    <w:rsid w:val="4DF11A4C"/>
    <w:rsid w:val="4DF27705"/>
    <w:rsid w:val="4E000925"/>
    <w:rsid w:val="4E08186E"/>
    <w:rsid w:val="4E183ADE"/>
    <w:rsid w:val="4E3221F7"/>
    <w:rsid w:val="4E33136D"/>
    <w:rsid w:val="4E344FCB"/>
    <w:rsid w:val="4E37780E"/>
    <w:rsid w:val="4E39285C"/>
    <w:rsid w:val="4E501BE5"/>
    <w:rsid w:val="4E5E32BA"/>
    <w:rsid w:val="4E630603"/>
    <w:rsid w:val="4E6A7C4E"/>
    <w:rsid w:val="4E6D3230"/>
    <w:rsid w:val="4E7740AE"/>
    <w:rsid w:val="4E7D7917"/>
    <w:rsid w:val="4EB65EBA"/>
    <w:rsid w:val="4ED02F61"/>
    <w:rsid w:val="4ED3237F"/>
    <w:rsid w:val="4ED6459C"/>
    <w:rsid w:val="4ED65779"/>
    <w:rsid w:val="4EDE412D"/>
    <w:rsid w:val="4EE2777A"/>
    <w:rsid w:val="4EE94FEF"/>
    <w:rsid w:val="4EEF1E97"/>
    <w:rsid w:val="4EF94AC3"/>
    <w:rsid w:val="4F044175"/>
    <w:rsid w:val="4F0924DC"/>
    <w:rsid w:val="4F0A4F22"/>
    <w:rsid w:val="4F12716D"/>
    <w:rsid w:val="4F1638C7"/>
    <w:rsid w:val="4F217232"/>
    <w:rsid w:val="4F287117"/>
    <w:rsid w:val="4F31425D"/>
    <w:rsid w:val="4F3B686F"/>
    <w:rsid w:val="4F482BDA"/>
    <w:rsid w:val="4F7F146C"/>
    <w:rsid w:val="4F8D182E"/>
    <w:rsid w:val="4FA86E02"/>
    <w:rsid w:val="4FB01626"/>
    <w:rsid w:val="4FB56BEA"/>
    <w:rsid w:val="4FB81748"/>
    <w:rsid w:val="4FC51622"/>
    <w:rsid w:val="4FD277EE"/>
    <w:rsid w:val="4FDF65CD"/>
    <w:rsid w:val="4FED47FA"/>
    <w:rsid w:val="50025BF9"/>
    <w:rsid w:val="50243DC2"/>
    <w:rsid w:val="50277D8E"/>
    <w:rsid w:val="50483F54"/>
    <w:rsid w:val="504B134F"/>
    <w:rsid w:val="504B56E7"/>
    <w:rsid w:val="504E1C40"/>
    <w:rsid w:val="5052092F"/>
    <w:rsid w:val="505740C9"/>
    <w:rsid w:val="50812371"/>
    <w:rsid w:val="50950F16"/>
    <w:rsid w:val="509A2FDE"/>
    <w:rsid w:val="50A078EC"/>
    <w:rsid w:val="50A13664"/>
    <w:rsid w:val="50A54F03"/>
    <w:rsid w:val="50B25872"/>
    <w:rsid w:val="50BB4726"/>
    <w:rsid w:val="50C057AC"/>
    <w:rsid w:val="50C35389"/>
    <w:rsid w:val="50CA4969"/>
    <w:rsid w:val="50CE279C"/>
    <w:rsid w:val="50CF3D2E"/>
    <w:rsid w:val="50D516B9"/>
    <w:rsid w:val="50DE0415"/>
    <w:rsid w:val="50EA0A1F"/>
    <w:rsid w:val="50F33EC0"/>
    <w:rsid w:val="50FC37C6"/>
    <w:rsid w:val="51257DF2"/>
    <w:rsid w:val="51267769"/>
    <w:rsid w:val="512A6927"/>
    <w:rsid w:val="513122AA"/>
    <w:rsid w:val="51454E60"/>
    <w:rsid w:val="514F7346"/>
    <w:rsid w:val="515626A1"/>
    <w:rsid w:val="516120A6"/>
    <w:rsid w:val="51624BA2"/>
    <w:rsid w:val="51625339"/>
    <w:rsid w:val="51673073"/>
    <w:rsid w:val="516D3D99"/>
    <w:rsid w:val="516E79EA"/>
    <w:rsid w:val="51840FBC"/>
    <w:rsid w:val="51852391"/>
    <w:rsid w:val="518A57C6"/>
    <w:rsid w:val="518B0655"/>
    <w:rsid w:val="518C0673"/>
    <w:rsid w:val="518C1389"/>
    <w:rsid w:val="518C15EE"/>
    <w:rsid w:val="51954F77"/>
    <w:rsid w:val="51AE7DE7"/>
    <w:rsid w:val="51AF590D"/>
    <w:rsid w:val="51BC0756"/>
    <w:rsid w:val="51C04FDC"/>
    <w:rsid w:val="51C221AF"/>
    <w:rsid w:val="51C404B0"/>
    <w:rsid w:val="51C52AD1"/>
    <w:rsid w:val="52021F07"/>
    <w:rsid w:val="52224331"/>
    <w:rsid w:val="522F71C0"/>
    <w:rsid w:val="52316A1D"/>
    <w:rsid w:val="523A62C1"/>
    <w:rsid w:val="523D116B"/>
    <w:rsid w:val="52493560"/>
    <w:rsid w:val="525B7FEA"/>
    <w:rsid w:val="5262140D"/>
    <w:rsid w:val="52641C79"/>
    <w:rsid w:val="52662336"/>
    <w:rsid w:val="526864EB"/>
    <w:rsid w:val="526B217C"/>
    <w:rsid w:val="526D37FE"/>
    <w:rsid w:val="527132E4"/>
    <w:rsid w:val="5286423E"/>
    <w:rsid w:val="528B0128"/>
    <w:rsid w:val="52917701"/>
    <w:rsid w:val="52972235"/>
    <w:rsid w:val="52BD60EB"/>
    <w:rsid w:val="52CA2DA7"/>
    <w:rsid w:val="52CF6267"/>
    <w:rsid w:val="52EC417A"/>
    <w:rsid w:val="52EF609B"/>
    <w:rsid w:val="52F263F9"/>
    <w:rsid w:val="52F83A10"/>
    <w:rsid w:val="53034162"/>
    <w:rsid w:val="530A3743"/>
    <w:rsid w:val="530F0D59"/>
    <w:rsid w:val="531430DD"/>
    <w:rsid w:val="531D4AF1"/>
    <w:rsid w:val="531E0F9C"/>
    <w:rsid w:val="5322283B"/>
    <w:rsid w:val="53266D5D"/>
    <w:rsid w:val="53312A7E"/>
    <w:rsid w:val="53314C34"/>
    <w:rsid w:val="53397B84"/>
    <w:rsid w:val="53425B98"/>
    <w:rsid w:val="53435870"/>
    <w:rsid w:val="534C5B09"/>
    <w:rsid w:val="535E583D"/>
    <w:rsid w:val="535E64A6"/>
    <w:rsid w:val="5362532D"/>
    <w:rsid w:val="5379701E"/>
    <w:rsid w:val="53831F35"/>
    <w:rsid w:val="53883137"/>
    <w:rsid w:val="53894668"/>
    <w:rsid w:val="538A5ED0"/>
    <w:rsid w:val="5396277D"/>
    <w:rsid w:val="53981AC7"/>
    <w:rsid w:val="539D45B7"/>
    <w:rsid w:val="53B94AB6"/>
    <w:rsid w:val="53C766F8"/>
    <w:rsid w:val="53D752BC"/>
    <w:rsid w:val="53FD5056"/>
    <w:rsid w:val="54004D75"/>
    <w:rsid w:val="5402441A"/>
    <w:rsid w:val="542045B3"/>
    <w:rsid w:val="54260108"/>
    <w:rsid w:val="542645AC"/>
    <w:rsid w:val="545509EE"/>
    <w:rsid w:val="546A5834"/>
    <w:rsid w:val="5476375F"/>
    <w:rsid w:val="54767D77"/>
    <w:rsid w:val="5480666D"/>
    <w:rsid w:val="54AE104D"/>
    <w:rsid w:val="54BC0A6D"/>
    <w:rsid w:val="54D538DD"/>
    <w:rsid w:val="54DD5D85"/>
    <w:rsid w:val="54EF2BF0"/>
    <w:rsid w:val="54F32715"/>
    <w:rsid w:val="54F627E5"/>
    <w:rsid w:val="550D48C1"/>
    <w:rsid w:val="55164621"/>
    <w:rsid w:val="551B39E5"/>
    <w:rsid w:val="552F01AA"/>
    <w:rsid w:val="55333D21"/>
    <w:rsid w:val="5538374D"/>
    <w:rsid w:val="553B4087"/>
    <w:rsid w:val="55567512"/>
    <w:rsid w:val="555D3FFE"/>
    <w:rsid w:val="5573542B"/>
    <w:rsid w:val="557355CF"/>
    <w:rsid w:val="55802E36"/>
    <w:rsid w:val="5580720F"/>
    <w:rsid w:val="55B33C1E"/>
    <w:rsid w:val="55B81234"/>
    <w:rsid w:val="55BD1A84"/>
    <w:rsid w:val="55D8083C"/>
    <w:rsid w:val="55EF09CE"/>
    <w:rsid w:val="56002BDB"/>
    <w:rsid w:val="56105220"/>
    <w:rsid w:val="561A5A4B"/>
    <w:rsid w:val="561F5757"/>
    <w:rsid w:val="561F7505"/>
    <w:rsid w:val="56222F84"/>
    <w:rsid w:val="56696900"/>
    <w:rsid w:val="566A0E5F"/>
    <w:rsid w:val="56773007"/>
    <w:rsid w:val="567F58A7"/>
    <w:rsid w:val="56D227CA"/>
    <w:rsid w:val="56DD08DC"/>
    <w:rsid w:val="56ED5BFF"/>
    <w:rsid w:val="57045E05"/>
    <w:rsid w:val="570D067D"/>
    <w:rsid w:val="57233025"/>
    <w:rsid w:val="57244C28"/>
    <w:rsid w:val="572D3C16"/>
    <w:rsid w:val="572F33D1"/>
    <w:rsid w:val="575A4DA8"/>
    <w:rsid w:val="575A77EE"/>
    <w:rsid w:val="575F447B"/>
    <w:rsid w:val="576158FB"/>
    <w:rsid w:val="576527EF"/>
    <w:rsid w:val="57672F12"/>
    <w:rsid w:val="57766BFB"/>
    <w:rsid w:val="579161E1"/>
    <w:rsid w:val="57921D54"/>
    <w:rsid w:val="579D2DD8"/>
    <w:rsid w:val="57C02622"/>
    <w:rsid w:val="57D55A7C"/>
    <w:rsid w:val="57E04A72"/>
    <w:rsid w:val="57EB0F0E"/>
    <w:rsid w:val="58003366"/>
    <w:rsid w:val="580E02F4"/>
    <w:rsid w:val="580E59F2"/>
    <w:rsid w:val="58152362"/>
    <w:rsid w:val="58272430"/>
    <w:rsid w:val="58353010"/>
    <w:rsid w:val="58490869"/>
    <w:rsid w:val="584A3ED8"/>
    <w:rsid w:val="58517B83"/>
    <w:rsid w:val="585409EA"/>
    <w:rsid w:val="58697E17"/>
    <w:rsid w:val="586B07E0"/>
    <w:rsid w:val="58710E12"/>
    <w:rsid w:val="58770960"/>
    <w:rsid w:val="587F0C51"/>
    <w:rsid w:val="588612CF"/>
    <w:rsid w:val="589510B3"/>
    <w:rsid w:val="5898359F"/>
    <w:rsid w:val="589D0BB5"/>
    <w:rsid w:val="58BB159C"/>
    <w:rsid w:val="58C00C36"/>
    <w:rsid w:val="58D463D9"/>
    <w:rsid w:val="58D74DDE"/>
    <w:rsid w:val="58DC348C"/>
    <w:rsid w:val="58EA534B"/>
    <w:rsid w:val="58EF1411"/>
    <w:rsid w:val="58EF1AD1"/>
    <w:rsid w:val="58F95DD8"/>
    <w:rsid w:val="591515CB"/>
    <w:rsid w:val="5930469B"/>
    <w:rsid w:val="59430D98"/>
    <w:rsid w:val="59436CBC"/>
    <w:rsid w:val="594A60CA"/>
    <w:rsid w:val="596A6CE9"/>
    <w:rsid w:val="59835FFD"/>
    <w:rsid w:val="598D7E7C"/>
    <w:rsid w:val="599C1170"/>
    <w:rsid w:val="59BF35DF"/>
    <w:rsid w:val="59C33DB2"/>
    <w:rsid w:val="59CF2FF0"/>
    <w:rsid w:val="59E44CEE"/>
    <w:rsid w:val="59E56370"/>
    <w:rsid w:val="59EF5395"/>
    <w:rsid w:val="5A086CF3"/>
    <w:rsid w:val="5A111FBE"/>
    <w:rsid w:val="5A1E7FBA"/>
    <w:rsid w:val="5A276F81"/>
    <w:rsid w:val="5A33532D"/>
    <w:rsid w:val="5A417B04"/>
    <w:rsid w:val="5A4A4B2A"/>
    <w:rsid w:val="5A5A5CCE"/>
    <w:rsid w:val="5A6916C0"/>
    <w:rsid w:val="5A6F20DD"/>
    <w:rsid w:val="5A783688"/>
    <w:rsid w:val="5A7B6CD4"/>
    <w:rsid w:val="5A821E11"/>
    <w:rsid w:val="5A8B33BB"/>
    <w:rsid w:val="5A9D52B5"/>
    <w:rsid w:val="5A9E32A7"/>
    <w:rsid w:val="5AA77D25"/>
    <w:rsid w:val="5AAA2A2E"/>
    <w:rsid w:val="5AD00DCE"/>
    <w:rsid w:val="5ADB29FA"/>
    <w:rsid w:val="5AE164E4"/>
    <w:rsid w:val="5AEC14F9"/>
    <w:rsid w:val="5AF20DEB"/>
    <w:rsid w:val="5AF2420B"/>
    <w:rsid w:val="5B003036"/>
    <w:rsid w:val="5B042454"/>
    <w:rsid w:val="5B105E0A"/>
    <w:rsid w:val="5B1866C5"/>
    <w:rsid w:val="5B1E7D8B"/>
    <w:rsid w:val="5B33135D"/>
    <w:rsid w:val="5B345801"/>
    <w:rsid w:val="5B3A7B1C"/>
    <w:rsid w:val="5B491F2D"/>
    <w:rsid w:val="5B524351"/>
    <w:rsid w:val="5B8147BE"/>
    <w:rsid w:val="5B885B4D"/>
    <w:rsid w:val="5B8E0A49"/>
    <w:rsid w:val="5B904C74"/>
    <w:rsid w:val="5B946864"/>
    <w:rsid w:val="5B975D90"/>
    <w:rsid w:val="5B99216E"/>
    <w:rsid w:val="5B9A03B8"/>
    <w:rsid w:val="5B9D45BF"/>
    <w:rsid w:val="5BBE0374"/>
    <w:rsid w:val="5BC16969"/>
    <w:rsid w:val="5BC9152F"/>
    <w:rsid w:val="5BD14B03"/>
    <w:rsid w:val="5BD818EA"/>
    <w:rsid w:val="5BD955C8"/>
    <w:rsid w:val="5BE72873"/>
    <w:rsid w:val="5BF07746"/>
    <w:rsid w:val="5BFD3E45"/>
    <w:rsid w:val="5C190436"/>
    <w:rsid w:val="5C270EC2"/>
    <w:rsid w:val="5C2B5569"/>
    <w:rsid w:val="5C3B496D"/>
    <w:rsid w:val="5C446A82"/>
    <w:rsid w:val="5C450C1E"/>
    <w:rsid w:val="5C480E38"/>
    <w:rsid w:val="5C4C26D6"/>
    <w:rsid w:val="5C5225A0"/>
    <w:rsid w:val="5C5278E9"/>
    <w:rsid w:val="5C573250"/>
    <w:rsid w:val="5C6D7659"/>
    <w:rsid w:val="5C7A7BB6"/>
    <w:rsid w:val="5C82434A"/>
    <w:rsid w:val="5CAC425C"/>
    <w:rsid w:val="5CBB0383"/>
    <w:rsid w:val="5CD54DC2"/>
    <w:rsid w:val="5CD64696"/>
    <w:rsid w:val="5CE2128D"/>
    <w:rsid w:val="5CE60D7D"/>
    <w:rsid w:val="5CF51BD3"/>
    <w:rsid w:val="5CF7289E"/>
    <w:rsid w:val="5D071531"/>
    <w:rsid w:val="5D176B71"/>
    <w:rsid w:val="5D1A6C78"/>
    <w:rsid w:val="5D307AAD"/>
    <w:rsid w:val="5D435270"/>
    <w:rsid w:val="5D4D6706"/>
    <w:rsid w:val="5D513FD1"/>
    <w:rsid w:val="5D62383E"/>
    <w:rsid w:val="5D865CB3"/>
    <w:rsid w:val="5DB4386A"/>
    <w:rsid w:val="5DB734D6"/>
    <w:rsid w:val="5DC808C2"/>
    <w:rsid w:val="5DDD2180"/>
    <w:rsid w:val="5DE3706A"/>
    <w:rsid w:val="5DEB1601"/>
    <w:rsid w:val="5DF271A3"/>
    <w:rsid w:val="5DFB1B13"/>
    <w:rsid w:val="5E08087F"/>
    <w:rsid w:val="5E1E072B"/>
    <w:rsid w:val="5E203E1A"/>
    <w:rsid w:val="5E225DE5"/>
    <w:rsid w:val="5E310F5A"/>
    <w:rsid w:val="5E5341F0"/>
    <w:rsid w:val="5E623203"/>
    <w:rsid w:val="5E7513B9"/>
    <w:rsid w:val="5E7A79CF"/>
    <w:rsid w:val="5E8C508E"/>
    <w:rsid w:val="5EA944E1"/>
    <w:rsid w:val="5EBE53E1"/>
    <w:rsid w:val="5ED2780B"/>
    <w:rsid w:val="5ED750F1"/>
    <w:rsid w:val="5EE74938"/>
    <w:rsid w:val="5EE96902"/>
    <w:rsid w:val="5EEA00E8"/>
    <w:rsid w:val="5EF26DE6"/>
    <w:rsid w:val="5F013C4C"/>
    <w:rsid w:val="5F22656A"/>
    <w:rsid w:val="5F233717"/>
    <w:rsid w:val="5F251C1C"/>
    <w:rsid w:val="5F2931A3"/>
    <w:rsid w:val="5F3E790D"/>
    <w:rsid w:val="5F447FDD"/>
    <w:rsid w:val="5F530220"/>
    <w:rsid w:val="5F6637EC"/>
    <w:rsid w:val="5F916CC2"/>
    <w:rsid w:val="5F9768E9"/>
    <w:rsid w:val="5F9D1413"/>
    <w:rsid w:val="5FB11D30"/>
    <w:rsid w:val="5FB26D4F"/>
    <w:rsid w:val="5FB802F3"/>
    <w:rsid w:val="5FD621A4"/>
    <w:rsid w:val="5FF27A39"/>
    <w:rsid w:val="5FF52176"/>
    <w:rsid w:val="5FFE018B"/>
    <w:rsid w:val="60093B52"/>
    <w:rsid w:val="600E48ED"/>
    <w:rsid w:val="6011597D"/>
    <w:rsid w:val="602557FB"/>
    <w:rsid w:val="60280523"/>
    <w:rsid w:val="602A5424"/>
    <w:rsid w:val="60397415"/>
    <w:rsid w:val="604007A4"/>
    <w:rsid w:val="60406292"/>
    <w:rsid w:val="604B08C1"/>
    <w:rsid w:val="60543DAD"/>
    <w:rsid w:val="60567FC7"/>
    <w:rsid w:val="606A4E75"/>
    <w:rsid w:val="60863D99"/>
    <w:rsid w:val="60A46FF9"/>
    <w:rsid w:val="60C110F2"/>
    <w:rsid w:val="60D13AF2"/>
    <w:rsid w:val="60D94755"/>
    <w:rsid w:val="60DF29F3"/>
    <w:rsid w:val="60E06490"/>
    <w:rsid w:val="60E3072E"/>
    <w:rsid w:val="60E87FF2"/>
    <w:rsid w:val="60EF5D26"/>
    <w:rsid w:val="61170DD0"/>
    <w:rsid w:val="612B1BAA"/>
    <w:rsid w:val="61332D3B"/>
    <w:rsid w:val="613D1187"/>
    <w:rsid w:val="613D5274"/>
    <w:rsid w:val="61404326"/>
    <w:rsid w:val="61412A26"/>
    <w:rsid w:val="61481763"/>
    <w:rsid w:val="614B11AE"/>
    <w:rsid w:val="614B38A4"/>
    <w:rsid w:val="6157306D"/>
    <w:rsid w:val="61590B79"/>
    <w:rsid w:val="6165658B"/>
    <w:rsid w:val="61672C42"/>
    <w:rsid w:val="6168173E"/>
    <w:rsid w:val="61784836"/>
    <w:rsid w:val="6181058A"/>
    <w:rsid w:val="6186187D"/>
    <w:rsid w:val="61865197"/>
    <w:rsid w:val="618A0B05"/>
    <w:rsid w:val="618E57EA"/>
    <w:rsid w:val="619C5EAE"/>
    <w:rsid w:val="61A662CE"/>
    <w:rsid w:val="61BA6334"/>
    <w:rsid w:val="61BC3AF2"/>
    <w:rsid w:val="61C60FF4"/>
    <w:rsid w:val="61D218D0"/>
    <w:rsid w:val="61D45648"/>
    <w:rsid w:val="61D62B6D"/>
    <w:rsid w:val="61EC75D6"/>
    <w:rsid w:val="61EF4230"/>
    <w:rsid w:val="61F23D20"/>
    <w:rsid w:val="61F77588"/>
    <w:rsid w:val="62126170"/>
    <w:rsid w:val="6223212B"/>
    <w:rsid w:val="622D4D58"/>
    <w:rsid w:val="622F6D22"/>
    <w:rsid w:val="62347E94"/>
    <w:rsid w:val="62381227"/>
    <w:rsid w:val="624A4CA7"/>
    <w:rsid w:val="624B7414"/>
    <w:rsid w:val="625422E5"/>
    <w:rsid w:val="625473BB"/>
    <w:rsid w:val="62586279"/>
    <w:rsid w:val="62592CE2"/>
    <w:rsid w:val="625D388F"/>
    <w:rsid w:val="626F08D2"/>
    <w:rsid w:val="627A1305"/>
    <w:rsid w:val="62823E26"/>
    <w:rsid w:val="62830E1C"/>
    <w:rsid w:val="62A212A2"/>
    <w:rsid w:val="62A72BBE"/>
    <w:rsid w:val="62A96AD4"/>
    <w:rsid w:val="62AE40EB"/>
    <w:rsid w:val="62BC7E8A"/>
    <w:rsid w:val="62C05BCC"/>
    <w:rsid w:val="62C40B19"/>
    <w:rsid w:val="62C70A69"/>
    <w:rsid w:val="62E8408A"/>
    <w:rsid w:val="62EC6150"/>
    <w:rsid w:val="62ED5EBF"/>
    <w:rsid w:val="62EE1AA6"/>
    <w:rsid w:val="62EF55A7"/>
    <w:rsid w:val="62F51723"/>
    <w:rsid w:val="62F87114"/>
    <w:rsid w:val="62FC2897"/>
    <w:rsid w:val="62FC592B"/>
    <w:rsid w:val="63072C30"/>
    <w:rsid w:val="63072C66"/>
    <w:rsid w:val="6309310A"/>
    <w:rsid w:val="631F0B45"/>
    <w:rsid w:val="633F4D43"/>
    <w:rsid w:val="6354487F"/>
    <w:rsid w:val="63612C49"/>
    <w:rsid w:val="63666773"/>
    <w:rsid w:val="6367542E"/>
    <w:rsid w:val="6388493C"/>
    <w:rsid w:val="63AE3C76"/>
    <w:rsid w:val="63AF718C"/>
    <w:rsid w:val="63B3395D"/>
    <w:rsid w:val="63C662B1"/>
    <w:rsid w:val="63CF5D9C"/>
    <w:rsid w:val="63DB2F88"/>
    <w:rsid w:val="63EF32BD"/>
    <w:rsid w:val="63F43D7F"/>
    <w:rsid w:val="63F61158"/>
    <w:rsid w:val="64076CA8"/>
    <w:rsid w:val="64124205"/>
    <w:rsid w:val="641D78B9"/>
    <w:rsid w:val="643343C1"/>
    <w:rsid w:val="64346110"/>
    <w:rsid w:val="643541AF"/>
    <w:rsid w:val="643C1282"/>
    <w:rsid w:val="643D56FD"/>
    <w:rsid w:val="64507EF3"/>
    <w:rsid w:val="645973A2"/>
    <w:rsid w:val="646A2293"/>
    <w:rsid w:val="646B6192"/>
    <w:rsid w:val="64803865"/>
    <w:rsid w:val="64860EB8"/>
    <w:rsid w:val="648A1D2F"/>
    <w:rsid w:val="64964E36"/>
    <w:rsid w:val="6497760E"/>
    <w:rsid w:val="649A6644"/>
    <w:rsid w:val="64A05CB5"/>
    <w:rsid w:val="64A75B56"/>
    <w:rsid w:val="64B6459D"/>
    <w:rsid w:val="64C63F4B"/>
    <w:rsid w:val="64CA0F84"/>
    <w:rsid w:val="64CF20F6"/>
    <w:rsid w:val="64D43BB1"/>
    <w:rsid w:val="64D4595F"/>
    <w:rsid w:val="64DB56EF"/>
    <w:rsid w:val="64F733FB"/>
    <w:rsid w:val="64F94E73"/>
    <w:rsid w:val="64FD6C64"/>
    <w:rsid w:val="6502071E"/>
    <w:rsid w:val="65044496"/>
    <w:rsid w:val="650D1E50"/>
    <w:rsid w:val="65104721"/>
    <w:rsid w:val="6514150D"/>
    <w:rsid w:val="65294721"/>
    <w:rsid w:val="65297A59"/>
    <w:rsid w:val="652F7039"/>
    <w:rsid w:val="65490C43"/>
    <w:rsid w:val="654D786C"/>
    <w:rsid w:val="655500C3"/>
    <w:rsid w:val="655C385D"/>
    <w:rsid w:val="658F724D"/>
    <w:rsid w:val="659001FF"/>
    <w:rsid w:val="659A2704"/>
    <w:rsid w:val="65A215B9"/>
    <w:rsid w:val="65A84620"/>
    <w:rsid w:val="65A951B7"/>
    <w:rsid w:val="65B51A37"/>
    <w:rsid w:val="65B65064"/>
    <w:rsid w:val="65B85280"/>
    <w:rsid w:val="65C459D3"/>
    <w:rsid w:val="65CD51AC"/>
    <w:rsid w:val="65F067C8"/>
    <w:rsid w:val="660F4C99"/>
    <w:rsid w:val="66100862"/>
    <w:rsid w:val="662E10DE"/>
    <w:rsid w:val="66392D26"/>
    <w:rsid w:val="66414E1C"/>
    <w:rsid w:val="664D59C9"/>
    <w:rsid w:val="6654265B"/>
    <w:rsid w:val="66581072"/>
    <w:rsid w:val="665A551B"/>
    <w:rsid w:val="666D1BC7"/>
    <w:rsid w:val="668257A8"/>
    <w:rsid w:val="668F4233"/>
    <w:rsid w:val="66901724"/>
    <w:rsid w:val="669D6A02"/>
    <w:rsid w:val="669D7D3B"/>
    <w:rsid w:val="669E7FD2"/>
    <w:rsid w:val="66A05265"/>
    <w:rsid w:val="66A575B3"/>
    <w:rsid w:val="66B47843"/>
    <w:rsid w:val="66B73167"/>
    <w:rsid w:val="66BB0B84"/>
    <w:rsid w:val="66C1772D"/>
    <w:rsid w:val="66C67529"/>
    <w:rsid w:val="66C92DE4"/>
    <w:rsid w:val="66C94123"/>
    <w:rsid w:val="66CA526B"/>
    <w:rsid w:val="66CD5476"/>
    <w:rsid w:val="66E53E53"/>
    <w:rsid w:val="66F35CB5"/>
    <w:rsid w:val="670342D9"/>
    <w:rsid w:val="67201575"/>
    <w:rsid w:val="672020EF"/>
    <w:rsid w:val="67204E8B"/>
    <w:rsid w:val="67280542"/>
    <w:rsid w:val="67310E46"/>
    <w:rsid w:val="67381624"/>
    <w:rsid w:val="6752344C"/>
    <w:rsid w:val="676A3084"/>
    <w:rsid w:val="676D025A"/>
    <w:rsid w:val="67795F9E"/>
    <w:rsid w:val="677A48E2"/>
    <w:rsid w:val="677E60F9"/>
    <w:rsid w:val="67A14064"/>
    <w:rsid w:val="67AE2497"/>
    <w:rsid w:val="67B93D6E"/>
    <w:rsid w:val="67C1041C"/>
    <w:rsid w:val="67C24194"/>
    <w:rsid w:val="67C73559"/>
    <w:rsid w:val="67C95523"/>
    <w:rsid w:val="67CC1F4B"/>
    <w:rsid w:val="67D30150"/>
    <w:rsid w:val="67D87514"/>
    <w:rsid w:val="680943CE"/>
    <w:rsid w:val="68120201"/>
    <w:rsid w:val="6829598F"/>
    <w:rsid w:val="682D5AB2"/>
    <w:rsid w:val="682D7860"/>
    <w:rsid w:val="6837248C"/>
    <w:rsid w:val="68464AB7"/>
    <w:rsid w:val="684B418A"/>
    <w:rsid w:val="684E3BA9"/>
    <w:rsid w:val="6853303E"/>
    <w:rsid w:val="686C32E3"/>
    <w:rsid w:val="6875280B"/>
    <w:rsid w:val="687F5412"/>
    <w:rsid w:val="68901223"/>
    <w:rsid w:val="68B41D2F"/>
    <w:rsid w:val="68CD1043"/>
    <w:rsid w:val="68D46CA1"/>
    <w:rsid w:val="68F02175"/>
    <w:rsid w:val="690600B1"/>
    <w:rsid w:val="690E58E3"/>
    <w:rsid w:val="691675E7"/>
    <w:rsid w:val="691B1DAE"/>
    <w:rsid w:val="692A1FF1"/>
    <w:rsid w:val="693269AA"/>
    <w:rsid w:val="69366BE8"/>
    <w:rsid w:val="6940006C"/>
    <w:rsid w:val="69450365"/>
    <w:rsid w:val="6955695C"/>
    <w:rsid w:val="69766FE4"/>
    <w:rsid w:val="69794AC7"/>
    <w:rsid w:val="69824A82"/>
    <w:rsid w:val="69837DFF"/>
    <w:rsid w:val="698A2A90"/>
    <w:rsid w:val="6994390F"/>
    <w:rsid w:val="699D6C67"/>
    <w:rsid w:val="69BD45E3"/>
    <w:rsid w:val="69BF6F51"/>
    <w:rsid w:val="69C5055B"/>
    <w:rsid w:val="69CF404C"/>
    <w:rsid w:val="69D1246D"/>
    <w:rsid w:val="69DB43A3"/>
    <w:rsid w:val="69DC4A99"/>
    <w:rsid w:val="69DD2F4A"/>
    <w:rsid w:val="69DD755C"/>
    <w:rsid w:val="69E647D2"/>
    <w:rsid w:val="69EF4FC9"/>
    <w:rsid w:val="69F73D77"/>
    <w:rsid w:val="6A002D52"/>
    <w:rsid w:val="6A057564"/>
    <w:rsid w:val="6A0C433E"/>
    <w:rsid w:val="6A141877"/>
    <w:rsid w:val="6A152BF7"/>
    <w:rsid w:val="6A2F4413"/>
    <w:rsid w:val="6A36731F"/>
    <w:rsid w:val="6A414355"/>
    <w:rsid w:val="6A4D41E9"/>
    <w:rsid w:val="6A523D92"/>
    <w:rsid w:val="6A57544B"/>
    <w:rsid w:val="6A5B4E1E"/>
    <w:rsid w:val="6A635D6D"/>
    <w:rsid w:val="6A6B7915"/>
    <w:rsid w:val="6A6E6CFE"/>
    <w:rsid w:val="6A721203"/>
    <w:rsid w:val="6A7E25F5"/>
    <w:rsid w:val="6A805BF9"/>
    <w:rsid w:val="6A863C0A"/>
    <w:rsid w:val="6A8A4024"/>
    <w:rsid w:val="6A94006A"/>
    <w:rsid w:val="6A9E7E16"/>
    <w:rsid w:val="6A9F256B"/>
    <w:rsid w:val="6AAA537B"/>
    <w:rsid w:val="6AC241B0"/>
    <w:rsid w:val="6ACD0E86"/>
    <w:rsid w:val="6AD40E54"/>
    <w:rsid w:val="6AF1726A"/>
    <w:rsid w:val="6AFA2A24"/>
    <w:rsid w:val="6B08210E"/>
    <w:rsid w:val="6B097561"/>
    <w:rsid w:val="6B29437B"/>
    <w:rsid w:val="6B2E6DA4"/>
    <w:rsid w:val="6B324E83"/>
    <w:rsid w:val="6B3C37D2"/>
    <w:rsid w:val="6B502858"/>
    <w:rsid w:val="6B5363CE"/>
    <w:rsid w:val="6B574BF4"/>
    <w:rsid w:val="6B6466DD"/>
    <w:rsid w:val="6B6E08BB"/>
    <w:rsid w:val="6B706342"/>
    <w:rsid w:val="6B7457A6"/>
    <w:rsid w:val="6B751BCA"/>
    <w:rsid w:val="6B841E8D"/>
    <w:rsid w:val="6BA82257"/>
    <w:rsid w:val="6BB107A8"/>
    <w:rsid w:val="6BC24763"/>
    <w:rsid w:val="6BC32054"/>
    <w:rsid w:val="6BCC55E2"/>
    <w:rsid w:val="6BEC358E"/>
    <w:rsid w:val="6BF123BD"/>
    <w:rsid w:val="6BF91484"/>
    <w:rsid w:val="6C023AA8"/>
    <w:rsid w:val="6C0A19D0"/>
    <w:rsid w:val="6C0E36D4"/>
    <w:rsid w:val="6C101972"/>
    <w:rsid w:val="6C110C0F"/>
    <w:rsid w:val="6C1827C2"/>
    <w:rsid w:val="6C4B6506"/>
    <w:rsid w:val="6C55317F"/>
    <w:rsid w:val="6C5A499B"/>
    <w:rsid w:val="6C614BCD"/>
    <w:rsid w:val="6C7F6FA8"/>
    <w:rsid w:val="6C8D4D71"/>
    <w:rsid w:val="6C8E6E97"/>
    <w:rsid w:val="6C9A56E0"/>
    <w:rsid w:val="6CB26586"/>
    <w:rsid w:val="6CB735FA"/>
    <w:rsid w:val="6CC50E69"/>
    <w:rsid w:val="6CCF2537"/>
    <w:rsid w:val="6CCF5389"/>
    <w:rsid w:val="6CD56718"/>
    <w:rsid w:val="6CF81F8B"/>
    <w:rsid w:val="6D07276D"/>
    <w:rsid w:val="6D091704"/>
    <w:rsid w:val="6D0A63C2"/>
    <w:rsid w:val="6D10066D"/>
    <w:rsid w:val="6D1C60F5"/>
    <w:rsid w:val="6D2B0D47"/>
    <w:rsid w:val="6D341690"/>
    <w:rsid w:val="6D597BED"/>
    <w:rsid w:val="6D6342D9"/>
    <w:rsid w:val="6D750AAF"/>
    <w:rsid w:val="6D7D3037"/>
    <w:rsid w:val="6D8F4B19"/>
    <w:rsid w:val="6D961910"/>
    <w:rsid w:val="6D9E0144"/>
    <w:rsid w:val="6DC066D9"/>
    <w:rsid w:val="6DC7308F"/>
    <w:rsid w:val="6DDD52AD"/>
    <w:rsid w:val="6DDD5884"/>
    <w:rsid w:val="6DDD7632"/>
    <w:rsid w:val="6DF5308D"/>
    <w:rsid w:val="6E05172A"/>
    <w:rsid w:val="6E1A6AD8"/>
    <w:rsid w:val="6E203358"/>
    <w:rsid w:val="6E337B9A"/>
    <w:rsid w:val="6E467DF4"/>
    <w:rsid w:val="6E5F44EB"/>
    <w:rsid w:val="6E6561BB"/>
    <w:rsid w:val="6E6E3343"/>
    <w:rsid w:val="6E733BE8"/>
    <w:rsid w:val="6E7F2489"/>
    <w:rsid w:val="6E7F693B"/>
    <w:rsid w:val="6E9543B1"/>
    <w:rsid w:val="6E9817AB"/>
    <w:rsid w:val="6E9C3A4B"/>
    <w:rsid w:val="6EC3120D"/>
    <w:rsid w:val="6EC439C2"/>
    <w:rsid w:val="6EC922AC"/>
    <w:rsid w:val="6EE20EBC"/>
    <w:rsid w:val="6EF75F80"/>
    <w:rsid w:val="6EFA4D75"/>
    <w:rsid w:val="6F040549"/>
    <w:rsid w:val="6F0C6E96"/>
    <w:rsid w:val="6F0D3F47"/>
    <w:rsid w:val="6F12155D"/>
    <w:rsid w:val="6F1418F3"/>
    <w:rsid w:val="6F173018"/>
    <w:rsid w:val="6F225677"/>
    <w:rsid w:val="6F3F7779"/>
    <w:rsid w:val="6F4B0F13"/>
    <w:rsid w:val="6F547DC8"/>
    <w:rsid w:val="6F571666"/>
    <w:rsid w:val="6F583AD3"/>
    <w:rsid w:val="6F5B1156"/>
    <w:rsid w:val="6F776FEE"/>
    <w:rsid w:val="6F8306AD"/>
    <w:rsid w:val="6F8561D3"/>
    <w:rsid w:val="6F902386"/>
    <w:rsid w:val="6FB76B53"/>
    <w:rsid w:val="6FC211D5"/>
    <w:rsid w:val="6FC34F4E"/>
    <w:rsid w:val="6FCA3B9E"/>
    <w:rsid w:val="6FD44A65"/>
    <w:rsid w:val="6FD535CB"/>
    <w:rsid w:val="6FD85A48"/>
    <w:rsid w:val="6FE25F7F"/>
    <w:rsid w:val="6FEE1FCA"/>
    <w:rsid w:val="6FF27677"/>
    <w:rsid w:val="6FFE580B"/>
    <w:rsid w:val="7019691C"/>
    <w:rsid w:val="70293003"/>
    <w:rsid w:val="70310109"/>
    <w:rsid w:val="7037762A"/>
    <w:rsid w:val="70433FC3"/>
    <w:rsid w:val="704F1569"/>
    <w:rsid w:val="705049FA"/>
    <w:rsid w:val="705B6F34"/>
    <w:rsid w:val="70657DB3"/>
    <w:rsid w:val="70691B77"/>
    <w:rsid w:val="706B47A9"/>
    <w:rsid w:val="706C1141"/>
    <w:rsid w:val="70717761"/>
    <w:rsid w:val="7073427E"/>
    <w:rsid w:val="7084648B"/>
    <w:rsid w:val="708E10B8"/>
    <w:rsid w:val="708F6BDE"/>
    <w:rsid w:val="70A2421E"/>
    <w:rsid w:val="70A63EDB"/>
    <w:rsid w:val="70AD3C34"/>
    <w:rsid w:val="70B37562"/>
    <w:rsid w:val="70C34349"/>
    <w:rsid w:val="70CB40BA"/>
    <w:rsid w:val="70D34D1C"/>
    <w:rsid w:val="70E9298E"/>
    <w:rsid w:val="70F05815"/>
    <w:rsid w:val="70F4421A"/>
    <w:rsid w:val="70F834E8"/>
    <w:rsid w:val="70F84783"/>
    <w:rsid w:val="711C4915"/>
    <w:rsid w:val="71237A52"/>
    <w:rsid w:val="71252330"/>
    <w:rsid w:val="71362A50"/>
    <w:rsid w:val="71381023"/>
    <w:rsid w:val="71452751"/>
    <w:rsid w:val="715E6CDC"/>
    <w:rsid w:val="716B489A"/>
    <w:rsid w:val="71701BB7"/>
    <w:rsid w:val="71707F9F"/>
    <w:rsid w:val="7174769D"/>
    <w:rsid w:val="717E112C"/>
    <w:rsid w:val="71A1306D"/>
    <w:rsid w:val="71A33C49"/>
    <w:rsid w:val="71B66716"/>
    <w:rsid w:val="71B845AD"/>
    <w:rsid w:val="71CE623B"/>
    <w:rsid w:val="71D64AC4"/>
    <w:rsid w:val="71DB286F"/>
    <w:rsid w:val="71DE606F"/>
    <w:rsid w:val="72165809"/>
    <w:rsid w:val="72225F5B"/>
    <w:rsid w:val="722D5303"/>
    <w:rsid w:val="723B3735"/>
    <w:rsid w:val="723E79C0"/>
    <w:rsid w:val="724B3804"/>
    <w:rsid w:val="72621826"/>
    <w:rsid w:val="7270161E"/>
    <w:rsid w:val="7270475E"/>
    <w:rsid w:val="727B4FCE"/>
    <w:rsid w:val="7289422C"/>
    <w:rsid w:val="72943CE9"/>
    <w:rsid w:val="72965F01"/>
    <w:rsid w:val="72A36E2B"/>
    <w:rsid w:val="72A830A7"/>
    <w:rsid w:val="72B066F3"/>
    <w:rsid w:val="72B57194"/>
    <w:rsid w:val="72B73B47"/>
    <w:rsid w:val="72BF37AA"/>
    <w:rsid w:val="72C36E24"/>
    <w:rsid w:val="72D46815"/>
    <w:rsid w:val="72D74F98"/>
    <w:rsid w:val="72DD00D4"/>
    <w:rsid w:val="72E40751"/>
    <w:rsid w:val="72ED672C"/>
    <w:rsid w:val="72F0006C"/>
    <w:rsid w:val="7314216E"/>
    <w:rsid w:val="731735E6"/>
    <w:rsid w:val="731D25DE"/>
    <w:rsid w:val="732031E0"/>
    <w:rsid w:val="73390E5E"/>
    <w:rsid w:val="73430E45"/>
    <w:rsid w:val="734A27AC"/>
    <w:rsid w:val="7351239F"/>
    <w:rsid w:val="73615878"/>
    <w:rsid w:val="7389151C"/>
    <w:rsid w:val="73972979"/>
    <w:rsid w:val="73AA04E9"/>
    <w:rsid w:val="73B726D3"/>
    <w:rsid w:val="73E6120B"/>
    <w:rsid w:val="73FC458A"/>
    <w:rsid w:val="74063ACB"/>
    <w:rsid w:val="740E1636"/>
    <w:rsid w:val="740F2288"/>
    <w:rsid w:val="74220495"/>
    <w:rsid w:val="744C6B36"/>
    <w:rsid w:val="74534AF2"/>
    <w:rsid w:val="74553554"/>
    <w:rsid w:val="74600FBD"/>
    <w:rsid w:val="746E79C9"/>
    <w:rsid w:val="74744A68"/>
    <w:rsid w:val="747B2F53"/>
    <w:rsid w:val="748C0004"/>
    <w:rsid w:val="74A20227"/>
    <w:rsid w:val="74A24637"/>
    <w:rsid w:val="74A470FC"/>
    <w:rsid w:val="74B02D5E"/>
    <w:rsid w:val="74B87DFA"/>
    <w:rsid w:val="74D6127F"/>
    <w:rsid w:val="74E93142"/>
    <w:rsid w:val="74EF2BCC"/>
    <w:rsid w:val="74F205F2"/>
    <w:rsid w:val="750C6A4F"/>
    <w:rsid w:val="750D5593"/>
    <w:rsid w:val="75104791"/>
    <w:rsid w:val="75137DDD"/>
    <w:rsid w:val="751C3441"/>
    <w:rsid w:val="753660E5"/>
    <w:rsid w:val="75431B6A"/>
    <w:rsid w:val="754937FF"/>
    <w:rsid w:val="75660855"/>
    <w:rsid w:val="75671ED7"/>
    <w:rsid w:val="757709DB"/>
    <w:rsid w:val="75A31161"/>
    <w:rsid w:val="75A650F5"/>
    <w:rsid w:val="75B55338"/>
    <w:rsid w:val="75CE45CC"/>
    <w:rsid w:val="75D94B83"/>
    <w:rsid w:val="75E04193"/>
    <w:rsid w:val="75E336A9"/>
    <w:rsid w:val="75EA44A4"/>
    <w:rsid w:val="75EC70D8"/>
    <w:rsid w:val="760342F6"/>
    <w:rsid w:val="76036776"/>
    <w:rsid w:val="7608131E"/>
    <w:rsid w:val="760F2C9B"/>
    <w:rsid w:val="761B163F"/>
    <w:rsid w:val="763C15B6"/>
    <w:rsid w:val="763D210E"/>
    <w:rsid w:val="763F6D05"/>
    <w:rsid w:val="765406AD"/>
    <w:rsid w:val="765608C9"/>
    <w:rsid w:val="765D2592"/>
    <w:rsid w:val="767755A1"/>
    <w:rsid w:val="767B1715"/>
    <w:rsid w:val="768076F4"/>
    <w:rsid w:val="76816FC9"/>
    <w:rsid w:val="76950EBC"/>
    <w:rsid w:val="76A103E7"/>
    <w:rsid w:val="76A93072"/>
    <w:rsid w:val="76A96C4B"/>
    <w:rsid w:val="76C11D6C"/>
    <w:rsid w:val="76D41774"/>
    <w:rsid w:val="76E06A51"/>
    <w:rsid w:val="76EF27A5"/>
    <w:rsid w:val="77000835"/>
    <w:rsid w:val="770519A8"/>
    <w:rsid w:val="770E4D00"/>
    <w:rsid w:val="77131B98"/>
    <w:rsid w:val="7725027B"/>
    <w:rsid w:val="77250C14"/>
    <w:rsid w:val="772B3B04"/>
    <w:rsid w:val="77337BA2"/>
    <w:rsid w:val="77431600"/>
    <w:rsid w:val="7749366F"/>
    <w:rsid w:val="77597EB6"/>
    <w:rsid w:val="775F730A"/>
    <w:rsid w:val="776D3DF2"/>
    <w:rsid w:val="776E1C43"/>
    <w:rsid w:val="77752DF8"/>
    <w:rsid w:val="77B50825"/>
    <w:rsid w:val="77B5517C"/>
    <w:rsid w:val="77CD3C2E"/>
    <w:rsid w:val="77D55B8F"/>
    <w:rsid w:val="77D84F67"/>
    <w:rsid w:val="77E23F4F"/>
    <w:rsid w:val="77EB5041"/>
    <w:rsid w:val="77F02658"/>
    <w:rsid w:val="78061E7B"/>
    <w:rsid w:val="78170512"/>
    <w:rsid w:val="782347DB"/>
    <w:rsid w:val="78250553"/>
    <w:rsid w:val="782D11B6"/>
    <w:rsid w:val="782D2DCE"/>
    <w:rsid w:val="783A362B"/>
    <w:rsid w:val="78570929"/>
    <w:rsid w:val="785A08FF"/>
    <w:rsid w:val="78623556"/>
    <w:rsid w:val="78632AB8"/>
    <w:rsid w:val="78686692"/>
    <w:rsid w:val="786F17CF"/>
    <w:rsid w:val="7890194C"/>
    <w:rsid w:val="78914753"/>
    <w:rsid w:val="789254BD"/>
    <w:rsid w:val="78986F77"/>
    <w:rsid w:val="78C12BFF"/>
    <w:rsid w:val="78C537D8"/>
    <w:rsid w:val="78CC6C21"/>
    <w:rsid w:val="78CF5006"/>
    <w:rsid w:val="78E60874"/>
    <w:rsid w:val="78FD4140"/>
    <w:rsid w:val="790068CB"/>
    <w:rsid w:val="79131A1F"/>
    <w:rsid w:val="79167E9C"/>
    <w:rsid w:val="791D56CF"/>
    <w:rsid w:val="7923019B"/>
    <w:rsid w:val="7927136B"/>
    <w:rsid w:val="792E74DB"/>
    <w:rsid w:val="7936053E"/>
    <w:rsid w:val="793B1E2B"/>
    <w:rsid w:val="79406ADA"/>
    <w:rsid w:val="795B11E6"/>
    <w:rsid w:val="79660E24"/>
    <w:rsid w:val="796B468C"/>
    <w:rsid w:val="796C4DDB"/>
    <w:rsid w:val="796E4E17"/>
    <w:rsid w:val="79766B8D"/>
    <w:rsid w:val="79786DA9"/>
    <w:rsid w:val="797A7A50"/>
    <w:rsid w:val="797F6C94"/>
    <w:rsid w:val="79825532"/>
    <w:rsid w:val="79852A28"/>
    <w:rsid w:val="79863274"/>
    <w:rsid w:val="79905EA0"/>
    <w:rsid w:val="79973330"/>
    <w:rsid w:val="79A922D3"/>
    <w:rsid w:val="79AC25AE"/>
    <w:rsid w:val="79B576B5"/>
    <w:rsid w:val="79BA6C6F"/>
    <w:rsid w:val="79C5247E"/>
    <w:rsid w:val="79D34908"/>
    <w:rsid w:val="79E531A2"/>
    <w:rsid w:val="79FF3026"/>
    <w:rsid w:val="7A0A1DD8"/>
    <w:rsid w:val="7A232871"/>
    <w:rsid w:val="7A433E64"/>
    <w:rsid w:val="7A4869FA"/>
    <w:rsid w:val="7A4D3012"/>
    <w:rsid w:val="7A7107BC"/>
    <w:rsid w:val="7A792DD8"/>
    <w:rsid w:val="7A793CFE"/>
    <w:rsid w:val="7A8349ED"/>
    <w:rsid w:val="7A864AF2"/>
    <w:rsid w:val="7A8F6158"/>
    <w:rsid w:val="7A97325F"/>
    <w:rsid w:val="7AAB59A6"/>
    <w:rsid w:val="7AAC5768"/>
    <w:rsid w:val="7AB14320"/>
    <w:rsid w:val="7AC758F2"/>
    <w:rsid w:val="7AC829AF"/>
    <w:rsid w:val="7AD4000F"/>
    <w:rsid w:val="7AE87E01"/>
    <w:rsid w:val="7AE94A1F"/>
    <w:rsid w:val="7AF21C1E"/>
    <w:rsid w:val="7AF44D2F"/>
    <w:rsid w:val="7AF728B3"/>
    <w:rsid w:val="7AFC6623"/>
    <w:rsid w:val="7B3101D4"/>
    <w:rsid w:val="7B31720F"/>
    <w:rsid w:val="7B362A78"/>
    <w:rsid w:val="7B3B1E3C"/>
    <w:rsid w:val="7B4C6884"/>
    <w:rsid w:val="7B4C7450"/>
    <w:rsid w:val="7B4E6013"/>
    <w:rsid w:val="7B511D94"/>
    <w:rsid w:val="7B51276C"/>
    <w:rsid w:val="7B5611C5"/>
    <w:rsid w:val="7B5B24DE"/>
    <w:rsid w:val="7B86755B"/>
    <w:rsid w:val="7B900E1F"/>
    <w:rsid w:val="7B9A4DB4"/>
    <w:rsid w:val="7B9F026F"/>
    <w:rsid w:val="7BC3285F"/>
    <w:rsid w:val="7BD82BE2"/>
    <w:rsid w:val="7BD95C07"/>
    <w:rsid w:val="7BDE1658"/>
    <w:rsid w:val="7BDF310F"/>
    <w:rsid w:val="7BDF40E7"/>
    <w:rsid w:val="7BE36A89"/>
    <w:rsid w:val="7BF546E1"/>
    <w:rsid w:val="7BF70459"/>
    <w:rsid w:val="7C0170C9"/>
    <w:rsid w:val="7C1814AA"/>
    <w:rsid w:val="7C197CF4"/>
    <w:rsid w:val="7C240B22"/>
    <w:rsid w:val="7C291555"/>
    <w:rsid w:val="7C29438A"/>
    <w:rsid w:val="7C2E1319"/>
    <w:rsid w:val="7C352D2F"/>
    <w:rsid w:val="7C395B0D"/>
    <w:rsid w:val="7C3A1463"/>
    <w:rsid w:val="7C43369E"/>
    <w:rsid w:val="7C71560D"/>
    <w:rsid w:val="7C741101"/>
    <w:rsid w:val="7C790E6E"/>
    <w:rsid w:val="7C792C1C"/>
    <w:rsid w:val="7C7D5445"/>
    <w:rsid w:val="7C8178DB"/>
    <w:rsid w:val="7C837BA3"/>
    <w:rsid w:val="7C8E31B6"/>
    <w:rsid w:val="7CA659DB"/>
    <w:rsid w:val="7CBC3ECA"/>
    <w:rsid w:val="7CC571A4"/>
    <w:rsid w:val="7CCA16C9"/>
    <w:rsid w:val="7CE32254"/>
    <w:rsid w:val="7CE803A7"/>
    <w:rsid w:val="7CEC5AE4"/>
    <w:rsid w:val="7CF14CE5"/>
    <w:rsid w:val="7CF46746"/>
    <w:rsid w:val="7D0D7803"/>
    <w:rsid w:val="7D0F1D0F"/>
    <w:rsid w:val="7D187A0F"/>
    <w:rsid w:val="7D194DCF"/>
    <w:rsid w:val="7D34702B"/>
    <w:rsid w:val="7D373ABA"/>
    <w:rsid w:val="7D3C714E"/>
    <w:rsid w:val="7D5611AF"/>
    <w:rsid w:val="7D66043F"/>
    <w:rsid w:val="7D7A57DC"/>
    <w:rsid w:val="7D7E6657"/>
    <w:rsid w:val="7D851DEF"/>
    <w:rsid w:val="7D906F42"/>
    <w:rsid w:val="7D9A5540"/>
    <w:rsid w:val="7DA64CF0"/>
    <w:rsid w:val="7DAA5057"/>
    <w:rsid w:val="7DC4436B"/>
    <w:rsid w:val="7DC47E0B"/>
    <w:rsid w:val="7DCA6284"/>
    <w:rsid w:val="7DD33880"/>
    <w:rsid w:val="7DE93DD1"/>
    <w:rsid w:val="7DEE2175"/>
    <w:rsid w:val="7DF71CE1"/>
    <w:rsid w:val="7E000F39"/>
    <w:rsid w:val="7E040C0B"/>
    <w:rsid w:val="7E1C41A7"/>
    <w:rsid w:val="7E2739DF"/>
    <w:rsid w:val="7E2968C4"/>
    <w:rsid w:val="7E316423"/>
    <w:rsid w:val="7E413C0D"/>
    <w:rsid w:val="7E4E00D8"/>
    <w:rsid w:val="7E503E50"/>
    <w:rsid w:val="7E6C6F6B"/>
    <w:rsid w:val="7E726A95"/>
    <w:rsid w:val="7E7713DD"/>
    <w:rsid w:val="7E77762F"/>
    <w:rsid w:val="7E7F1020"/>
    <w:rsid w:val="7E827DBC"/>
    <w:rsid w:val="7E97382D"/>
    <w:rsid w:val="7EA342B9"/>
    <w:rsid w:val="7EA34743"/>
    <w:rsid w:val="7EC37EA5"/>
    <w:rsid w:val="7ECB53BA"/>
    <w:rsid w:val="7ED52BDC"/>
    <w:rsid w:val="7EDA196C"/>
    <w:rsid w:val="7EDE49D0"/>
    <w:rsid w:val="7EE051D4"/>
    <w:rsid w:val="7EF42A2E"/>
    <w:rsid w:val="7EF97E9D"/>
    <w:rsid w:val="7F005876"/>
    <w:rsid w:val="7F056392"/>
    <w:rsid w:val="7F0D1D41"/>
    <w:rsid w:val="7F0F1615"/>
    <w:rsid w:val="7F2D7CEE"/>
    <w:rsid w:val="7F3D2102"/>
    <w:rsid w:val="7F914720"/>
    <w:rsid w:val="7F9B734D"/>
    <w:rsid w:val="7FA458B2"/>
    <w:rsid w:val="7FAC50B6"/>
    <w:rsid w:val="7FC6434A"/>
    <w:rsid w:val="7FD53ACD"/>
    <w:rsid w:val="7FD7406F"/>
    <w:rsid w:val="7FEC7BA9"/>
    <w:rsid w:val="7FF32CE5"/>
    <w:rsid w:val="7FFB0761"/>
    <w:rsid w:val="7FFB6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unhideWhenUsed="0" w:uiPriority="64" w:semiHidden="0" w:name="Medium Shading 2 Accent 5"/>
    <w:lsdException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0">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index 5"/>
    <w:basedOn w:val="1"/>
    <w:next w:val="1"/>
    <w:autoRedefine/>
    <w:qFormat/>
    <w:uiPriority w:val="0"/>
    <w:pPr>
      <w:ind w:left="1680"/>
    </w:pPr>
  </w:style>
  <w:style w:type="paragraph" w:styleId="3">
    <w:name w:val="Body Text Indent"/>
    <w:basedOn w:val="1"/>
    <w:autoRedefine/>
    <w:qFormat/>
    <w:uiPriority w:val="0"/>
    <w:pPr>
      <w:spacing w:after="120"/>
      <w:ind w:left="420" w:leftChars="200"/>
    </w:pPr>
  </w:style>
  <w:style w:type="paragraph" w:styleId="4">
    <w:name w:val="Plain Text"/>
    <w:basedOn w:val="1"/>
    <w:autoRedefine/>
    <w:qFormat/>
    <w:uiPriority w:val="0"/>
    <w:rPr>
      <w:rFonts w:ascii="Courier New" w:hAnsi="Courier New"/>
    </w:rPr>
  </w:style>
  <w:style w:type="paragraph" w:styleId="5">
    <w:name w:val="Balloon Text"/>
    <w:basedOn w:val="1"/>
    <w:link w:val="24"/>
    <w:autoRedefine/>
    <w:semiHidden/>
    <w:unhideWhenUsed/>
    <w:qFormat/>
    <w:uiPriority w:val="99"/>
    <w:rPr>
      <w:sz w:val="18"/>
      <w:szCs w:val="18"/>
    </w:rPr>
  </w:style>
  <w:style w:type="paragraph" w:styleId="6">
    <w:name w:val="footer"/>
    <w:basedOn w:val="1"/>
    <w:next w:val="2"/>
    <w:link w:val="22"/>
    <w:autoRedefine/>
    <w:semiHidden/>
    <w:unhideWhenUsed/>
    <w:qFormat/>
    <w:uiPriority w:val="99"/>
    <w:pPr>
      <w:tabs>
        <w:tab w:val="center" w:pos="4153"/>
        <w:tab w:val="right" w:pos="8306"/>
      </w:tabs>
      <w:snapToGrid w:val="0"/>
      <w:jc w:val="left"/>
    </w:pPr>
    <w:rPr>
      <w:sz w:val="18"/>
      <w:szCs w:val="18"/>
    </w:rPr>
  </w:style>
  <w:style w:type="paragraph" w:styleId="7">
    <w:name w:val="header"/>
    <w:basedOn w:val="1"/>
    <w:link w:val="2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4"/>
    <w:basedOn w:val="1"/>
    <w:next w:val="1"/>
    <w:autoRedefine/>
    <w:unhideWhenUsed/>
    <w:qFormat/>
    <w:uiPriority w:val="39"/>
    <w:pPr>
      <w:ind w:left="1260" w:leftChars="600"/>
    </w:pPr>
    <w:rPr>
      <w:rFonts w:asciiTheme="minorHAnsi" w:hAnsiTheme="minorHAnsi" w:eastAsiaTheme="minorEastAsia"/>
    </w:rPr>
  </w:style>
  <w:style w:type="paragraph" w:styleId="9">
    <w:name w:val="Normal (Web)"/>
    <w:basedOn w:val="1"/>
    <w:autoRedefine/>
    <w:qFormat/>
    <w:uiPriority w:val="99"/>
    <w:pPr>
      <w:spacing w:beforeAutospacing="1" w:afterAutospacing="1"/>
      <w:jc w:val="left"/>
    </w:pPr>
    <w:rPr>
      <w:rFonts w:cs="Times New Roman"/>
      <w:kern w:val="0"/>
    </w:rPr>
  </w:style>
  <w:style w:type="paragraph" w:styleId="10">
    <w:name w:val="Body Text First Indent 2"/>
    <w:basedOn w:val="3"/>
    <w:next w:val="1"/>
    <w:autoRedefine/>
    <w:qFormat/>
    <w:uiPriority w:val="0"/>
    <w:pPr>
      <w:ind w:firstLine="420" w:firstLineChars="200"/>
    </w:pPr>
  </w:style>
  <w:style w:type="table" w:styleId="12">
    <w:name w:val="Table Grid"/>
    <w:basedOn w:val="1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List Accent 5"/>
    <w:basedOn w:val="11"/>
    <w:autoRedefine/>
    <w:qFormat/>
    <w:uiPriority w:val="61"/>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14">
    <w:name w:val="Light Grid Accent 5"/>
    <w:basedOn w:val="11"/>
    <w:autoRedefine/>
    <w:qFormat/>
    <w:uiPriority w:val="62"/>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15">
    <w:name w:val="Medium Shading 1 Accent 5"/>
    <w:basedOn w:val="11"/>
    <w:autoRedefine/>
    <w:qFormat/>
    <w:uiPriority w:val="63"/>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16">
    <w:name w:val="Medium List 2 Accent 5"/>
    <w:basedOn w:val="11"/>
    <w:autoRedefine/>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7">
    <w:name w:val="Medium Grid 1 Accent 5"/>
    <w:basedOn w:val="11"/>
    <w:autoRedefine/>
    <w:qFormat/>
    <w:uiPriority w:val="67"/>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8">
    <w:name w:val="Medium Grid 2 Accent 5"/>
    <w:basedOn w:val="11"/>
    <w:autoRedefine/>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19">
    <w:name w:val="Medium Grid 3 Accent 5"/>
    <w:basedOn w:val="11"/>
    <w:autoRedefine/>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character" w:customStyle="1" w:styleId="21">
    <w:name w:val="页眉 Char"/>
    <w:basedOn w:val="20"/>
    <w:link w:val="7"/>
    <w:autoRedefine/>
    <w:semiHidden/>
    <w:qFormat/>
    <w:uiPriority w:val="99"/>
    <w:rPr>
      <w:sz w:val="18"/>
      <w:szCs w:val="18"/>
    </w:rPr>
  </w:style>
  <w:style w:type="character" w:customStyle="1" w:styleId="22">
    <w:name w:val="页脚 Char"/>
    <w:basedOn w:val="20"/>
    <w:link w:val="6"/>
    <w:autoRedefine/>
    <w:semiHidden/>
    <w:qFormat/>
    <w:uiPriority w:val="99"/>
    <w:rPr>
      <w:sz w:val="18"/>
      <w:szCs w:val="18"/>
    </w:rPr>
  </w:style>
  <w:style w:type="paragraph" w:customStyle="1" w:styleId="23">
    <w:name w:val="Normal_31"/>
    <w:autoRedefine/>
    <w:qFormat/>
    <w:uiPriority w:val="0"/>
    <w:pPr>
      <w:spacing w:before="120" w:after="240"/>
      <w:jc w:val="both"/>
    </w:pPr>
    <w:rPr>
      <w:rFonts w:ascii="Calibri" w:hAnsi="Calibri" w:eastAsia="Calibri" w:cs="Times New Roman"/>
      <w:sz w:val="22"/>
      <w:szCs w:val="22"/>
      <w:lang w:val="ru-RU" w:eastAsia="en-US" w:bidi="ar-SA"/>
    </w:rPr>
  </w:style>
  <w:style w:type="character" w:customStyle="1" w:styleId="24">
    <w:name w:val="批注框文本 Char"/>
    <w:basedOn w:val="20"/>
    <w:link w:val="5"/>
    <w:autoRedefine/>
    <w:semiHidden/>
    <w:qFormat/>
    <w:uiPriority w:val="99"/>
    <w:rPr>
      <w:kern w:val="2"/>
      <w:sz w:val="18"/>
      <w:szCs w:val="18"/>
    </w:rPr>
  </w:style>
  <w:style w:type="table" w:customStyle="1" w:styleId="25">
    <w:name w:val="浅色底纹 - 强调文字颜色 11"/>
    <w:basedOn w:val="11"/>
    <w:autoRedefine/>
    <w:qFormat/>
    <w:uiPriority w:val="60"/>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hemeFill="accent1" w:themeFillTint="3F"/>
      </w:tcPr>
    </w:tblStylePr>
    <w:tblStylePr w:type="band1Horz">
      <w:tcPr>
        <w:tcBorders>
          <w:left w:val="nil"/>
          <w:right w:val="nil"/>
          <w:insideH w:val="nil"/>
          <w:insideV w:val="nil"/>
        </w:tcBorders>
        <w:shd w:val="clear" w:color="auto" w:fill="D3DFEE" w:themeFill="accent1" w:themeFillTint="3F"/>
      </w:tcPr>
    </w:tblStylePr>
  </w:style>
  <w:style w:type="table" w:customStyle="1" w:styleId="26">
    <w:name w:val="浅色网格 - 强调文字颜色 11"/>
    <w:basedOn w:val="11"/>
    <w:autoRedefine/>
    <w:qFormat/>
    <w:uiPriority w:val="62"/>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character" w:customStyle="1" w:styleId="27">
    <w:name w:val="font11"/>
    <w:basedOn w:val="20"/>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1" Type="http://schemas.openxmlformats.org/officeDocument/2006/relationships/fontTable" Target="fontTable.xml"/><Relationship Id="rId70" Type="http://schemas.openxmlformats.org/officeDocument/2006/relationships/customXml" Target="../customXml/item2.xml"/><Relationship Id="rId7" Type="http://schemas.openxmlformats.org/officeDocument/2006/relationships/chart" Target="charts/chart1.xml"/><Relationship Id="rId69" Type="http://schemas.openxmlformats.org/officeDocument/2006/relationships/numbering" Target="numbering.xml"/><Relationship Id="rId68" Type="http://schemas.openxmlformats.org/officeDocument/2006/relationships/customXml" Target="../customXml/item1.xml"/><Relationship Id="rId67" Type="http://schemas.openxmlformats.org/officeDocument/2006/relationships/chart" Target="charts/chart61.xml"/><Relationship Id="rId66" Type="http://schemas.openxmlformats.org/officeDocument/2006/relationships/chart" Target="charts/chart60.xml"/><Relationship Id="rId65" Type="http://schemas.openxmlformats.org/officeDocument/2006/relationships/chart" Target="charts/chart59.xml"/><Relationship Id="rId64" Type="http://schemas.openxmlformats.org/officeDocument/2006/relationships/chart" Target="charts/chart58.xml"/><Relationship Id="rId63" Type="http://schemas.openxmlformats.org/officeDocument/2006/relationships/chart" Target="charts/chart57.xml"/><Relationship Id="rId62" Type="http://schemas.openxmlformats.org/officeDocument/2006/relationships/chart" Target="charts/chart56.xml"/><Relationship Id="rId61" Type="http://schemas.openxmlformats.org/officeDocument/2006/relationships/chart" Target="charts/chart55.xml"/><Relationship Id="rId60" Type="http://schemas.openxmlformats.org/officeDocument/2006/relationships/chart" Target="charts/chart54.xml"/><Relationship Id="rId6" Type="http://schemas.openxmlformats.org/officeDocument/2006/relationships/image" Target="media/image1.png"/><Relationship Id="rId59" Type="http://schemas.openxmlformats.org/officeDocument/2006/relationships/chart" Target="charts/chart53.xml"/><Relationship Id="rId58" Type="http://schemas.openxmlformats.org/officeDocument/2006/relationships/chart" Target="charts/chart52.xml"/><Relationship Id="rId57" Type="http://schemas.openxmlformats.org/officeDocument/2006/relationships/chart" Target="charts/chart51.xml"/><Relationship Id="rId56" Type="http://schemas.openxmlformats.org/officeDocument/2006/relationships/chart" Target="charts/chart50.xml"/><Relationship Id="rId55" Type="http://schemas.openxmlformats.org/officeDocument/2006/relationships/chart" Target="charts/chart49.xml"/><Relationship Id="rId54" Type="http://schemas.openxmlformats.org/officeDocument/2006/relationships/chart" Target="charts/chart48.xml"/><Relationship Id="rId53" Type="http://schemas.openxmlformats.org/officeDocument/2006/relationships/chart" Target="charts/chart47.xml"/><Relationship Id="rId52" Type="http://schemas.openxmlformats.org/officeDocument/2006/relationships/chart" Target="charts/chart46.xml"/><Relationship Id="rId51" Type="http://schemas.openxmlformats.org/officeDocument/2006/relationships/chart" Target="charts/chart45.xml"/><Relationship Id="rId50" Type="http://schemas.openxmlformats.org/officeDocument/2006/relationships/chart" Target="charts/chart44.xml"/><Relationship Id="rId5" Type="http://schemas.openxmlformats.org/officeDocument/2006/relationships/theme" Target="theme/theme1.xml"/><Relationship Id="rId49" Type="http://schemas.openxmlformats.org/officeDocument/2006/relationships/chart" Target="charts/chart43.xml"/><Relationship Id="rId48" Type="http://schemas.openxmlformats.org/officeDocument/2006/relationships/chart" Target="charts/chart42.xml"/><Relationship Id="rId47" Type="http://schemas.openxmlformats.org/officeDocument/2006/relationships/chart" Target="charts/chart41.xml"/><Relationship Id="rId46" Type="http://schemas.openxmlformats.org/officeDocument/2006/relationships/chart" Target="charts/chart40.xml"/><Relationship Id="rId45" Type="http://schemas.openxmlformats.org/officeDocument/2006/relationships/chart" Target="charts/chart39.xml"/><Relationship Id="rId44" Type="http://schemas.openxmlformats.org/officeDocument/2006/relationships/chart" Target="charts/chart38.xml"/><Relationship Id="rId43" Type="http://schemas.openxmlformats.org/officeDocument/2006/relationships/chart" Target="charts/chart37.xml"/><Relationship Id="rId42" Type="http://schemas.openxmlformats.org/officeDocument/2006/relationships/chart" Target="charts/chart36.xml"/><Relationship Id="rId41" Type="http://schemas.openxmlformats.org/officeDocument/2006/relationships/chart" Target="charts/chart35.xml"/><Relationship Id="rId40" Type="http://schemas.openxmlformats.org/officeDocument/2006/relationships/chart" Target="charts/chart34.xml"/><Relationship Id="rId4" Type="http://schemas.openxmlformats.org/officeDocument/2006/relationships/footer" Target="footer2.xml"/><Relationship Id="rId39" Type="http://schemas.openxmlformats.org/officeDocument/2006/relationships/chart" Target="charts/chart33.xml"/><Relationship Id="rId38" Type="http://schemas.openxmlformats.org/officeDocument/2006/relationships/chart" Target="charts/chart32.xml"/><Relationship Id="rId37" Type="http://schemas.openxmlformats.org/officeDocument/2006/relationships/chart" Target="charts/chart31.xml"/><Relationship Id="rId36" Type="http://schemas.openxmlformats.org/officeDocument/2006/relationships/chart" Target="charts/chart30.xml"/><Relationship Id="rId35" Type="http://schemas.openxmlformats.org/officeDocument/2006/relationships/chart" Target="charts/chart29.xml"/><Relationship Id="rId34" Type="http://schemas.openxmlformats.org/officeDocument/2006/relationships/chart" Target="charts/chart28.xml"/><Relationship Id="rId33" Type="http://schemas.openxmlformats.org/officeDocument/2006/relationships/chart" Target="charts/chart27.xml"/><Relationship Id="rId32" Type="http://schemas.openxmlformats.org/officeDocument/2006/relationships/chart" Target="charts/chart26.xml"/><Relationship Id="rId31" Type="http://schemas.openxmlformats.org/officeDocument/2006/relationships/chart" Target="charts/chart25.xml"/><Relationship Id="rId30" Type="http://schemas.openxmlformats.org/officeDocument/2006/relationships/chart" Target="charts/chart24.xml"/><Relationship Id="rId3" Type="http://schemas.openxmlformats.org/officeDocument/2006/relationships/footer" Target="footer1.xml"/><Relationship Id="rId29" Type="http://schemas.openxmlformats.org/officeDocument/2006/relationships/chart" Target="charts/chart23.xml"/><Relationship Id="rId28" Type="http://schemas.openxmlformats.org/officeDocument/2006/relationships/chart" Target="charts/chart22.xml"/><Relationship Id="rId27" Type="http://schemas.openxmlformats.org/officeDocument/2006/relationships/chart" Target="charts/chart21.xml"/><Relationship Id="rId26" Type="http://schemas.openxmlformats.org/officeDocument/2006/relationships/chart" Target="charts/chart20.xml"/><Relationship Id="rId25" Type="http://schemas.openxmlformats.org/officeDocument/2006/relationships/chart" Target="charts/chart19.xml"/><Relationship Id="rId24" Type="http://schemas.openxmlformats.org/officeDocument/2006/relationships/chart" Target="charts/chart18.xml"/><Relationship Id="rId23" Type="http://schemas.openxmlformats.org/officeDocument/2006/relationships/chart" Target="charts/chart17.xml"/><Relationship Id="rId22" Type="http://schemas.openxmlformats.org/officeDocument/2006/relationships/chart" Target="charts/chart16.xml"/><Relationship Id="rId21" Type="http://schemas.openxmlformats.org/officeDocument/2006/relationships/chart" Target="charts/chart15.xml"/><Relationship Id="rId20" Type="http://schemas.openxmlformats.org/officeDocument/2006/relationships/chart" Target="charts/chart14.xml"/><Relationship Id="rId2" Type="http://schemas.openxmlformats.org/officeDocument/2006/relationships/settings" Target="settings.xml"/><Relationship Id="rId19" Type="http://schemas.openxmlformats.org/officeDocument/2006/relationships/chart" Target="charts/chart13.xml"/><Relationship Id="rId18" Type="http://schemas.openxmlformats.org/officeDocument/2006/relationships/chart" Target="charts/chart12.xml"/><Relationship Id="rId17" Type="http://schemas.openxmlformats.org/officeDocument/2006/relationships/chart" Target="charts/chart11.xml"/><Relationship Id="rId16" Type="http://schemas.openxmlformats.org/officeDocument/2006/relationships/chart" Target="charts/chart10.xml"/><Relationship Id="rId15" Type="http://schemas.openxmlformats.org/officeDocument/2006/relationships/chart" Target="charts/chart9.xml"/><Relationship Id="rId14" Type="http://schemas.openxmlformats.org/officeDocument/2006/relationships/chart" Target="charts/chart8.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10.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11.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12.xml.rels><?xml version="1.0" encoding="UTF-8" standalone="yes"?>
<Relationships xmlns="http://schemas.openxmlformats.org/package/2006/relationships"><Relationship Id="rId3" Type="http://schemas.microsoft.com/office/2011/relationships/chartColorStyle" Target="colors15.xml"/><Relationship Id="rId2" Type="http://schemas.microsoft.com/office/2011/relationships/chartStyle" Target="style15.xml"/><Relationship Id="rId1" Type="http://schemas.openxmlformats.org/officeDocument/2006/relationships/package" Target="../embeddings/Workbook15.xlsx"/></Relationships>
</file>

<file path=word/charts/_rels/chart13.xml.rels><?xml version="1.0" encoding="UTF-8" standalone="yes"?>
<Relationships xmlns="http://schemas.openxmlformats.org/package/2006/relationships"><Relationship Id="rId3" Type="http://schemas.microsoft.com/office/2011/relationships/chartColorStyle" Target="colors16.xml"/><Relationship Id="rId2" Type="http://schemas.microsoft.com/office/2011/relationships/chartStyle" Target="style16.xml"/><Relationship Id="rId1" Type="http://schemas.openxmlformats.org/officeDocument/2006/relationships/package" Target="../embeddings/Workbook16.xlsx"/></Relationships>
</file>

<file path=word/charts/_rels/chart14.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15.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package" Target="../embeddings/Workbook9.xlsx"/></Relationships>
</file>

<file path=word/charts/_rels/chart16.xml.rels><?xml version="1.0" encoding="UTF-8" standalone="yes"?>
<Relationships xmlns="http://schemas.openxmlformats.org/package/2006/relationships"><Relationship Id="rId3" Type="http://schemas.microsoft.com/office/2011/relationships/chartColorStyle" Target="colors10.xml"/><Relationship Id="rId2" Type="http://schemas.microsoft.com/office/2011/relationships/chartStyle" Target="style10.xml"/><Relationship Id="rId1" Type="http://schemas.openxmlformats.org/officeDocument/2006/relationships/package" Target="../embeddings/Workbook10.xlsx"/></Relationships>
</file>

<file path=word/charts/_rels/chart17.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package" Target="../embeddings/Workbook8.xlsx"/></Relationships>
</file>

<file path=word/charts/_rels/chart18.xml.rels><?xml version="1.0" encoding="UTF-8" standalone="yes"?>
<Relationships xmlns="http://schemas.openxmlformats.org/package/2006/relationships"><Relationship Id="rId3" Type="http://schemas.microsoft.com/office/2011/relationships/chartColorStyle" Target="colors17.xml"/><Relationship Id="rId2" Type="http://schemas.microsoft.com/office/2011/relationships/chartStyle" Target="style17.xml"/><Relationship Id="rId1" Type="http://schemas.openxmlformats.org/officeDocument/2006/relationships/package" Target="../embeddings/Workbook17.xlsx"/></Relationships>
</file>

<file path=word/charts/_rels/chart19.xml.rels><?xml version="1.0" encoding="UTF-8" standalone="yes"?>
<Relationships xmlns="http://schemas.openxmlformats.org/package/2006/relationships"><Relationship Id="rId3" Type="http://schemas.microsoft.com/office/2011/relationships/chartColorStyle" Target="colors12.xml"/><Relationship Id="rId2" Type="http://schemas.microsoft.com/office/2011/relationships/chartStyle" Target="style12.xml"/><Relationship Id="rId1" Type="http://schemas.openxmlformats.org/officeDocument/2006/relationships/package" Target="../embeddings/Workbook12.xlsx"/></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20.xml.rels><?xml version="1.0" encoding="UTF-8" standalone="yes"?>
<Relationships xmlns="http://schemas.openxmlformats.org/package/2006/relationships"><Relationship Id="rId3" Type="http://schemas.microsoft.com/office/2011/relationships/chartColorStyle" Target="colors45.xml"/><Relationship Id="rId2" Type="http://schemas.microsoft.com/office/2011/relationships/chartStyle" Target="style45.xml"/><Relationship Id="rId1" Type="http://schemas.openxmlformats.org/officeDocument/2006/relationships/package" Target="../embeddings/Workbook45.xlsx"/></Relationships>
</file>

<file path=word/charts/_rels/chart21.xml.rels><?xml version="1.0" encoding="UTF-8" standalone="yes"?>
<Relationships xmlns="http://schemas.openxmlformats.org/package/2006/relationships"><Relationship Id="rId3" Type="http://schemas.microsoft.com/office/2011/relationships/chartColorStyle" Target="colors39.xml"/><Relationship Id="rId2" Type="http://schemas.microsoft.com/office/2011/relationships/chartStyle" Target="style39.xml"/><Relationship Id="rId1" Type="http://schemas.openxmlformats.org/officeDocument/2006/relationships/package" Target="../embeddings/Workbook39.xlsx"/></Relationships>
</file>

<file path=word/charts/_rels/chart22.xml.rels><?xml version="1.0" encoding="UTF-8" standalone="yes"?>
<Relationships xmlns="http://schemas.openxmlformats.org/package/2006/relationships"><Relationship Id="rId3" Type="http://schemas.microsoft.com/office/2011/relationships/chartColorStyle" Target="colors40.xml"/><Relationship Id="rId2" Type="http://schemas.microsoft.com/office/2011/relationships/chartStyle" Target="style40.xml"/><Relationship Id="rId1" Type="http://schemas.openxmlformats.org/officeDocument/2006/relationships/package" Target="../embeddings/Workbook40.xlsx"/></Relationships>
</file>

<file path=word/charts/_rels/chart23.xml.rels><?xml version="1.0" encoding="UTF-8" standalone="yes"?>
<Relationships xmlns="http://schemas.openxmlformats.org/package/2006/relationships"><Relationship Id="rId1" Type="http://schemas.openxmlformats.org/officeDocument/2006/relationships/oleObject" Target="../embeddings/oleObject11.bin"/></Relationships>
</file>

<file path=word/charts/_rels/chart24.xml.rels><?xml version="1.0" encoding="UTF-8" standalone="yes"?>
<Relationships xmlns="http://schemas.openxmlformats.org/package/2006/relationships"><Relationship Id="rId3" Type="http://schemas.microsoft.com/office/2011/relationships/chartColorStyle" Target="colors41.xml"/><Relationship Id="rId2" Type="http://schemas.microsoft.com/office/2011/relationships/chartStyle" Target="style41.xml"/><Relationship Id="rId1" Type="http://schemas.openxmlformats.org/officeDocument/2006/relationships/package" Target="../embeddings/Workbook41.xlsx"/></Relationships>
</file>

<file path=word/charts/_rels/chart25.xml.rels><?xml version="1.0" encoding="UTF-8" standalone="yes"?>
<Relationships xmlns="http://schemas.openxmlformats.org/package/2006/relationships"><Relationship Id="rId3" Type="http://schemas.microsoft.com/office/2011/relationships/chartColorStyle" Target="colors46.xml"/><Relationship Id="rId2" Type="http://schemas.microsoft.com/office/2011/relationships/chartStyle" Target="style46.xml"/><Relationship Id="rId1" Type="http://schemas.openxmlformats.org/officeDocument/2006/relationships/package" Target="../embeddings/Workbook46.xlsx"/></Relationships>
</file>

<file path=word/charts/_rels/chart26.xml.rels><?xml version="1.0" encoding="UTF-8" standalone="yes"?>
<Relationships xmlns="http://schemas.openxmlformats.org/package/2006/relationships"><Relationship Id="rId3" Type="http://schemas.microsoft.com/office/2011/relationships/chartColorStyle" Target="colors48.xml"/><Relationship Id="rId2" Type="http://schemas.microsoft.com/office/2011/relationships/chartStyle" Target="style48.xml"/><Relationship Id="rId1" Type="http://schemas.openxmlformats.org/officeDocument/2006/relationships/package" Target="../embeddings/Workbook48.xlsx"/></Relationships>
</file>

<file path=word/charts/_rels/chart27.xml.rels><?xml version="1.0" encoding="UTF-8" standalone="yes"?>
<Relationships xmlns="http://schemas.openxmlformats.org/package/2006/relationships"><Relationship Id="rId3" Type="http://schemas.microsoft.com/office/2011/relationships/chartColorStyle" Target="colors47.xml"/><Relationship Id="rId2" Type="http://schemas.microsoft.com/office/2011/relationships/chartStyle" Target="style47.xml"/><Relationship Id="rId1" Type="http://schemas.openxmlformats.org/officeDocument/2006/relationships/package" Target="../embeddings/Workbook47.xlsx"/></Relationships>
</file>

<file path=word/charts/_rels/chart28.xml.rels><?xml version="1.0" encoding="UTF-8" standalone="yes"?>
<Relationships xmlns="http://schemas.openxmlformats.org/package/2006/relationships"><Relationship Id="rId3" Type="http://schemas.microsoft.com/office/2011/relationships/chartColorStyle" Target="colors49.xml"/><Relationship Id="rId2" Type="http://schemas.microsoft.com/office/2011/relationships/chartStyle" Target="style49.xml"/><Relationship Id="rId1" Type="http://schemas.openxmlformats.org/officeDocument/2006/relationships/package" Target="../embeddings/Workbook49.xlsx"/></Relationships>
</file>

<file path=word/charts/_rels/chart29.xml.rels><?xml version="1.0" encoding="UTF-8" standalone="yes"?>
<Relationships xmlns="http://schemas.openxmlformats.org/package/2006/relationships"><Relationship Id="rId3" Type="http://schemas.microsoft.com/office/2011/relationships/chartColorStyle" Target="colors42.xml"/><Relationship Id="rId2" Type="http://schemas.microsoft.com/office/2011/relationships/chartStyle" Target="style42.xml"/><Relationship Id="rId1" Type="http://schemas.openxmlformats.org/officeDocument/2006/relationships/package" Target="../embeddings/Workbook42.xlsx"/></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0.xml.rels><?xml version="1.0" encoding="UTF-8" standalone="yes"?>
<Relationships xmlns="http://schemas.openxmlformats.org/package/2006/relationships"><Relationship Id="rId3" Type="http://schemas.microsoft.com/office/2011/relationships/chartColorStyle" Target="colors36.xml"/><Relationship Id="rId2" Type="http://schemas.microsoft.com/office/2011/relationships/chartStyle" Target="style36.xml"/><Relationship Id="rId1" Type="http://schemas.openxmlformats.org/officeDocument/2006/relationships/package" Target="../embeddings/Workbook36.xlsx"/></Relationships>
</file>

<file path=word/charts/_rels/chart31.xml.rels><?xml version="1.0" encoding="UTF-8" standalone="yes"?>
<Relationships xmlns="http://schemas.openxmlformats.org/package/2006/relationships"><Relationship Id="rId3" Type="http://schemas.microsoft.com/office/2011/relationships/chartColorStyle" Target="colors43.xml"/><Relationship Id="rId2" Type="http://schemas.microsoft.com/office/2011/relationships/chartStyle" Target="style43.xml"/><Relationship Id="rId1" Type="http://schemas.openxmlformats.org/officeDocument/2006/relationships/package" Target="../embeddings/Workbook43.xlsx"/></Relationships>
</file>

<file path=word/charts/_rels/chart32.xml.rels><?xml version="1.0" encoding="UTF-8" standalone="yes"?>
<Relationships xmlns="http://schemas.openxmlformats.org/package/2006/relationships"><Relationship Id="rId3" Type="http://schemas.microsoft.com/office/2011/relationships/chartColorStyle" Target="colors44.xml"/><Relationship Id="rId2" Type="http://schemas.microsoft.com/office/2011/relationships/chartStyle" Target="style44.xml"/><Relationship Id="rId1" Type="http://schemas.openxmlformats.org/officeDocument/2006/relationships/package" Target="../embeddings/Workbook44.xlsx"/></Relationships>
</file>

<file path=word/charts/_rels/chart33.xml.rels><?xml version="1.0" encoding="UTF-8" standalone="yes"?>
<Relationships xmlns="http://schemas.openxmlformats.org/package/2006/relationships"><Relationship Id="rId3" Type="http://schemas.microsoft.com/office/2011/relationships/chartColorStyle" Target="colors37.xml"/><Relationship Id="rId2" Type="http://schemas.microsoft.com/office/2011/relationships/chartStyle" Target="style37.xml"/><Relationship Id="rId1" Type="http://schemas.openxmlformats.org/officeDocument/2006/relationships/package" Target="../embeddings/Workbook37.xlsx"/></Relationships>
</file>

<file path=word/charts/_rels/chart34.xml.rels><?xml version="1.0" encoding="UTF-8" standalone="yes"?>
<Relationships xmlns="http://schemas.openxmlformats.org/package/2006/relationships"><Relationship Id="rId1" Type="http://schemas.openxmlformats.org/officeDocument/2006/relationships/oleObject" Target="../embeddings/oleObject12.bin"/></Relationships>
</file>

<file path=word/charts/_rels/chart35.xml.rels><?xml version="1.0" encoding="UTF-8" standalone="yes"?>
<Relationships xmlns="http://schemas.openxmlformats.org/package/2006/relationships"><Relationship Id="rId1" Type="http://schemas.openxmlformats.org/officeDocument/2006/relationships/oleObject" Target="../embeddings/oleObject10.bin"/></Relationships>
</file>

<file path=word/charts/_rels/chart36.xml.rels><?xml version="1.0" encoding="UTF-8" standalone="yes"?>
<Relationships xmlns="http://schemas.openxmlformats.org/package/2006/relationships"><Relationship Id="rId3" Type="http://schemas.microsoft.com/office/2011/relationships/chartColorStyle" Target="colors38.xml"/><Relationship Id="rId2" Type="http://schemas.microsoft.com/office/2011/relationships/chartStyle" Target="style38.xml"/><Relationship Id="rId1" Type="http://schemas.openxmlformats.org/officeDocument/2006/relationships/package" Target="../embeddings/Workbook38.xlsx"/></Relationships>
</file>

<file path=word/charts/_rels/chart37.xml.rels><?xml version="1.0" encoding="UTF-8" standalone="yes"?>
<Relationships xmlns="http://schemas.openxmlformats.org/package/2006/relationships"><Relationship Id="rId3" Type="http://schemas.microsoft.com/office/2011/relationships/chartColorStyle" Target="colors24.xml"/><Relationship Id="rId2" Type="http://schemas.microsoft.com/office/2011/relationships/chartStyle" Target="style24.xml"/><Relationship Id="rId1" Type="http://schemas.openxmlformats.org/officeDocument/2006/relationships/package" Target="../embeddings/Workbook24.xlsx"/></Relationships>
</file>

<file path=word/charts/_rels/chart38.xml.rels><?xml version="1.0" encoding="UTF-8" standalone="yes"?>
<Relationships xmlns="http://schemas.openxmlformats.org/package/2006/relationships"><Relationship Id="rId3" Type="http://schemas.microsoft.com/office/2011/relationships/chartColorStyle" Target="colors31.xml"/><Relationship Id="rId2" Type="http://schemas.microsoft.com/office/2011/relationships/chartStyle" Target="style31.xml"/><Relationship Id="rId1" Type="http://schemas.openxmlformats.org/officeDocument/2006/relationships/package" Target="../embeddings/Workbook31.xlsx"/></Relationships>
</file>

<file path=word/charts/_rels/chart39.xml.rels><?xml version="1.0" encoding="UTF-8" standalone="yes"?>
<Relationships xmlns="http://schemas.openxmlformats.org/package/2006/relationships"><Relationship Id="rId3" Type="http://schemas.microsoft.com/office/2011/relationships/chartColorStyle" Target="colors35.xml"/><Relationship Id="rId2" Type="http://schemas.microsoft.com/office/2011/relationships/chartStyle" Target="style35.xml"/><Relationship Id="rId1" Type="http://schemas.openxmlformats.org/officeDocument/2006/relationships/package" Target="../embeddings/Workbook35.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0.xml.rels><?xml version="1.0" encoding="UTF-8" standalone="yes"?>
<Relationships xmlns="http://schemas.openxmlformats.org/package/2006/relationships"><Relationship Id="rId3" Type="http://schemas.microsoft.com/office/2011/relationships/chartColorStyle" Target="colors32.xml"/><Relationship Id="rId2" Type="http://schemas.microsoft.com/office/2011/relationships/chartStyle" Target="style32.xml"/><Relationship Id="rId1" Type="http://schemas.openxmlformats.org/officeDocument/2006/relationships/package" Target="../embeddings/Workbook32.xlsx"/></Relationships>
</file>

<file path=word/charts/_rels/chart41.xml.rels><?xml version="1.0" encoding="UTF-8" standalone="yes"?>
<Relationships xmlns="http://schemas.openxmlformats.org/package/2006/relationships"><Relationship Id="rId3" Type="http://schemas.microsoft.com/office/2011/relationships/chartColorStyle" Target="colors33.xml"/><Relationship Id="rId2" Type="http://schemas.microsoft.com/office/2011/relationships/chartStyle" Target="style33.xml"/><Relationship Id="rId1" Type="http://schemas.openxmlformats.org/officeDocument/2006/relationships/package" Target="../embeddings/Workbook33.xlsx"/></Relationships>
</file>

<file path=word/charts/_rels/chart42.xml.rels><?xml version="1.0" encoding="UTF-8" standalone="yes"?>
<Relationships xmlns="http://schemas.openxmlformats.org/package/2006/relationships"><Relationship Id="rId3" Type="http://schemas.microsoft.com/office/2011/relationships/chartColorStyle" Target="colors28.xml"/><Relationship Id="rId2" Type="http://schemas.microsoft.com/office/2011/relationships/chartStyle" Target="style28.xml"/><Relationship Id="rId1" Type="http://schemas.openxmlformats.org/officeDocument/2006/relationships/package" Target="../embeddings/Workbook28.xlsx"/></Relationships>
</file>

<file path=word/charts/_rels/chart43.xml.rels><?xml version="1.0" encoding="UTF-8" standalone="yes"?>
<Relationships xmlns="http://schemas.openxmlformats.org/package/2006/relationships"><Relationship Id="rId3" Type="http://schemas.microsoft.com/office/2011/relationships/chartColorStyle" Target="colors34.xml"/><Relationship Id="rId2" Type="http://schemas.microsoft.com/office/2011/relationships/chartStyle" Target="style34.xml"/><Relationship Id="rId1" Type="http://schemas.openxmlformats.org/officeDocument/2006/relationships/package" Target="../embeddings/Workbook34.xlsx"/></Relationships>
</file>

<file path=word/charts/_rels/chart44.xml.rels><?xml version="1.0" encoding="UTF-8" standalone="yes"?>
<Relationships xmlns="http://schemas.openxmlformats.org/package/2006/relationships"><Relationship Id="rId1" Type="http://schemas.openxmlformats.org/officeDocument/2006/relationships/oleObject" Target="../embeddings/oleObject6.bin"/></Relationships>
</file>

<file path=word/charts/_rels/chart45.xml.rels><?xml version="1.0" encoding="UTF-8" standalone="yes"?>
<Relationships xmlns="http://schemas.openxmlformats.org/package/2006/relationships"><Relationship Id="rId1" Type="http://schemas.openxmlformats.org/officeDocument/2006/relationships/oleObject" Target="../embeddings/oleObject9.bin"/></Relationships>
</file>

<file path=word/charts/_rels/chart46.xml.rels><?xml version="1.0" encoding="UTF-8" standalone="yes"?>
<Relationships xmlns="http://schemas.openxmlformats.org/package/2006/relationships"><Relationship Id="rId1" Type="http://schemas.openxmlformats.org/officeDocument/2006/relationships/oleObject" Target="../embeddings/oleObject8.bin"/></Relationships>
</file>

<file path=word/charts/_rels/chart47.xml.rels><?xml version="1.0" encoding="UTF-8" standalone="yes"?>
<Relationships xmlns="http://schemas.openxmlformats.org/package/2006/relationships"><Relationship Id="rId1" Type="http://schemas.openxmlformats.org/officeDocument/2006/relationships/oleObject" Target="../embeddings/oleObject7.bin"/></Relationships>
</file>

<file path=word/charts/_rels/chart48.xml.rels><?xml version="1.0" encoding="UTF-8" standalone="yes"?>
<Relationships xmlns="http://schemas.openxmlformats.org/package/2006/relationships"><Relationship Id="rId3" Type="http://schemas.microsoft.com/office/2011/relationships/chartColorStyle" Target="colors25.xml"/><Relationship Id="rId2" Type="http://schemas.microsoft.com/office/2011/relationships/chartStyle" Target="style25.xml"/><Relationship Id="rId1" Type="http://schemas.openxmlformats.org/officeDocument/2006/relationships/package" Target="../embeddings/Workbook25.xlsx"/></Relationships>
</file>

<file path=word/charts/_rels/chart49.xml.rels><?xml version="1.0" encoding="UTF-8" standalone="yes"?>
<Relationships xmlns="http://schemas.openxmlformats.org/package/2006/relationships"><Relationship Id="rId3" Type="http://schemas.microsoft.com/office/2011/relationships/chartColorStyle" Target="colors26.xml"/><Relationship Id="rId2" Type="http://schemas.microsoft.com/office/2011/relationships/chartStyle" Target="style26.xml"/><Relationship Id="rId1" Type="http://schemas.openxmlformats.org/officeDocument/2006/relationships/package" Target="../embeddings/Workbook26.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50.xml.rels><?xml version="1.0" encoding="UTF-8" standalone="yes"?>
<Relationships xmlns="http://schemas.openxmlformats.org/package/2006/relationships"><Relationship Id="rId3" Type="http://schemas.microsoft.com/office/2011/relationships/chartColorStyle" Target="colors30.xml"/><Relationship Id="rId2" Type="http://schemas.microsoft.com/office/2011/relationships/chartStyle" Target="style30.xml"/><Relationship Id="rId1" Type="http://schemas.openxmlformats.org/officeDocument/2006/relationships/package" Target="../embeddings/Workbook30.xlsx"/></Relationships>
</file>

<file path=word/charts/_rels/chart51.xml.rels><?xml version="1.0" encoding="UTF-8" standalone="yes"?>
<Relationships xmlns="http://schemas.openxmlformats.org/package/2006/relationships"><Relationship Id="rId3" Type="http://schemas.microsoft.com/office/2011/relationships/chartColorStyle" Target="colors27.xml"/><Relationship Id="rId2" Type="http://schemas.microsoft.com/office/2011/relationships/chartStyle" Target="style27.xml"/><Relationship Id="rId1" Type="http://schemas.openxmlformats.org/officeDocument/2006/relationships/package" Target="../embeddings/Workbook27.xlsx"/></Relationships>
</file>

<file path=word/charts/_rels/chart52.xml.rels><?xml version="1.0" encoding="UTF-8" standalone="yes"?>
<Relationships xmlns="http://schemas.openxmlformats.org/package/2006/relationships"><Relationship Id="rId3" Type="http://schemas.microsoft.com/office/2011/relationships/chartColorStyle" Target="colors29.xml"/><Relationship Id="rId2" Type="http://schemas.microsoft.com/office/2011/relationships/chartStyle" Target="style29.xml"/><Relationship Id="rId1" Type="http://schemas.openxmlformats.org/officeDocument/2006/relationships/package" Target="../embeddings/Workbook29.xlsx"/></Relationships>
</file>

<file path=word/charts/_rels/chart53.xml.rels><?xml version="1.0" encoding="UTF-8" standalone="yes"?>
<Relationships xmlns="http://schemas.openxmlformats.org/package/2006/relationships"><Relationship Id="rId3" Type="http://schemas.microsoft.com/office/2011/relationships/chartColorStyle" Target="colors22.xml"/><Relationship Id="rId2" Type="http://schemas.microsoft.com/office/2011/relationships/chartStyle" Target="style22.xml"/><Relationship Id="rId1" Type="http://schemas.openxmlformats.org/officeDocument/2006/relationships/package" Target="../embeddings/Workbook22.xlsx"/></Relationships>
</file>

<file path=word/charts/_rels/chart54.xml.rels><?xml version="1.0" encoding="UTF-8" standalone="yes"?>
<Relationships xmlns="http://schemas.openxmlformats.org/package/2006/relationships"><Relationship Id="rId3" Type="http://schemas.microsoft.com/office/2011/relationships/chartColorStyle" Target="colors19.xml"/><Relationship Id="rId2" Type="http://schemas.microsoft.com/office/2011/relationships/chartStyle" Target="style19.xml"/><Relationship Id="rId1" Type="http://schemas.openxmlformats.org/officeDocument/2006/relationships/package" Target="../embeddings/Workbook19.xlsx"/></Relationships>
</file>

<file path=word/charts/_rels/chart55.xml.rels><?xml version="1.0" encoding="UTF-8" standalone="yes"?>
<Relationships xmlns="http://schemas.openxmlformats.org/package/2006/relationships"><Relationship Id="rId3" Type="http://schemas.microsoft.com/office/2011/relationships/chartColorStyle" Target="colors23.xml"/><Relationship Id="rId2" Type="http://schemas.microsoft.com/office/2011/relationships/chartStyle" Target="style23.xml"/><Relationship Id="rId1" Type="http://schemas.openxmlformats.org/officeDocument/2006/relationships/package" Target="../embeddings/Workbook23.xlsx"/></Relationships>
</file>

<file path=word/charts/_rels/chart56.xml.rels><?xml version="1.0" encoding="UTF-8" standalone="yes"?>
<Relationships xmlns="http://schemas.openxmlformats.org/package/2006/relationships"><Relationship Id="rId3" Type="http://schemas.microsoft.com/office/2011/relationships/chartColorStyle" Target="colors20.xml"/><Relationship Id="rId2" Type="http://schemas.microsoft.com/office/2011/relationships/chartStyle" Target="style20.xml"/><Relationship Id="rId1" Type="http://schemas.openxmlformats.org/officeDocument/2006/relationships/package" Target="../embeddings/Workbook20.xlsx"/></Relationships>
</file>

<file path=word/charts/_rels/chart57.xml.rels><?xml version="1.0" encoding="UTF-8" standalone="yes"?>
<Relationships xmlns="http://schemas.openxmlformats.org/package/2006/relationships"><Relationship Id="rId3" Type="http://schemas.microsoft.com/office/2011/relationships/chartColorStyle" Target="colors21.xml"/><Relationship Id="rId2" Type="http://schemas.microsoft.com/office/2011/relationships/chartStyle" Target="style21.xml"/><Relationship Id="rId1" Type="http://schemas.openxmlformats.org/officeDocument/2006/relationships/package" Target="../embeddings/Workbook21.xlsx"/></Relationships>
</file>

<file path=word/charts/_rels/chart58.xml.rels><?xml version="1.0" encoding="UTF-8" standalone="yes"?>
<Relationships xmlns="http://schemas.openxmlformats.org/package/2006/relationships"><Relationship Id="rId3" Type="http://schemas.microsoft.com/office/2011/relationships/chartColorStyle" Target="colors18.xml"/><Relationship Id="rId2" Type="http://schemas.microsoft.com/office/2011/relationships/chartStyle" Target="style18.xml"/><Relationship Id="rId1" Type="http://schemas.openxmlformats.org/officeDocument/2006/relationships/package" Target="../embeddings/Workbook18.xlsx"/></Relationships>
</file>

<file path=word/charts/_rels/chart59.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6.xml.rels><?xml version="1.0" encoding="UTF-8" standalone="yes"?>
<Relationships xmlns="http://schemas.openxmlformats.org/package/2006/relationships"><Relationship Id="rId3" Type="http://schemas.microsoft.com/office/2011/relationships/chartColorStyle" Target="colors11.xml"/><Relationship Id="rId2" Type="http://schemas.microsoft.com/office/2011/relationships/chartStyle" Target="style11.xml"/><Relationship Id="rId1" Type="http://schemas.openxmlformats.org/officeDocument/2006/relationships/package" Target="../embeddings/Workbook11.xlsx"/></Relationships>
</file>

<file path=word/charts/_rels/chart60.xml.rels><?xml version="1.0" encoding="UTF-8" standalone="yes"?>
<Relationships xmlns="http://schemas.openxmlformats.org/package/2006/relationships"><Relationship Id="rId1" Type="http://schemas.openxmlformats.org/officeDocument/2006/relationships/oleObject" Target="../embeddings/oleObject4.bin"/></Relationships>
</file>

<file path=word/charts/_rels/chart61.xml.rels><?xml version="1.0" encoding="UTF-8" standalone="yes"?>
<Relationships xmlns="http://schemas.openxmlformats.org/package/2006/relationships"><Relationship Id="rId1" Type="http://schemas.openxmlformats.org/officeDocument/2006/relationships/oleObject" Target="../embeddings/oleObject5.bin"/></Relationships>
</file>

<file path=word/charts/_rels/chart7.xml.rels><?xml version="1.0" encoding="UTF-8" standalone="yes"?>
<Relationships xmlns="http://schemas.openxmlformats.org/package/2006/relationships"><Relationship Id="rId3" Type="http://schemas.microsoft.com/office/2011/relationships/chartColorStyle" Target="colors14.xml"/><Relationship Id="rId2" Type="http://schemas.microsoft.com/office/2011/relationships/chartStyle" Target="style14.xml"/><Relationship Id="rId1" Type="http://schemas.openxmlformats.org/officeDocument/2006/relationships/package" Target="../embeddings/Workbook14.xlsx"/></Relationships>
</file>

<file path=word/charts/_rels/chart8.xml.rels><?xml version="1.0" encoding="UTF-8" standalone="yes"?>
<Relationships xmlns="http://schemas.openxmlformats.org/package/2006/relationships"><Relationship Id="rId3" Type="http://schemas.microsoft.com/office/2011/relationships/chartColorStyle" Target="colors13.xml"/><Relationship Id="rId2" Type="http://schemas.microsoft.com/office/2011/relationships/chartStyle" Target="style13.xml"/><Relationship Id="rId1" Type="http://schemas.openxmlformats.org/officeDocument/2006/relationships/package" Target="../embeddings/Workbook13.xlsx"/></Relationships>
</file>

<file path=word/charts/_rels/chart9.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人数比例</c:v>
                </c:pt>
              </c:strCache>
            </c:strRef>
          </c:tx>
          <c:invertIfNegative val="0"/>
          <c:dLbls>
            <c:dLbl>
              <c:idx val="0"/>
              <c:layout>
                <c:manualLayout>
                  <c:x val="0.0240789790512882"/>
                  <c:y val="-0.0179566563467492"/>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2747</a:t>
                    </a:r>
                    <a:r>
                      <a:rPr lang="zh-CN" altLang="en-US"/>
                      <a:t>（</a:t>
                    </a:r>
                    <a:r>
                      <a:rPr lang="en-US" altLang="zh-CN"/>
                      <a:t>63.80%</a:t>
                    </a:r>
                    <a:r>
                      <a:rPr lang="zh-CN" altLang="en-US"/>
                      <a:t>）</a:t>
                    </a:r>
                    <a:endParaRPr lang="en-US" altLang="en-US"/>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902961714423308"/>
                  <c:y val="-0.0233230134158927"/>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1275</a:t>
                    </a:r>
                    <a:r>
                      <a:rPr lang="zh-CN" altLang="en-US"/>
                      <a:t>（</a:t>
                    </a:r>
                    <a:r>
                      <a:rPr lang="en-US" altLang="zh-CN"/>
                      <a:t>31.70%</a:t>
                    </a:r>
                    <a:r>
                      <a:rPr lang="zh-CN" altLang="en-US"/>
                      <a:t>）</a:t>
                    </a:r>
                    <a:endParaRPr lang="en-US" altLang="en-US"/>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36046231639778"/>
                  <c:y val="0.00784313725490196"/>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4022</a:t>
                    </a:r>
                    <a:r>
                      <a:rPr lang="zh-CN" altLang="en-US"/>
                      <a:t>（</a:t>
                    </a:r>
                    <a:r>
                      <a:rPr lang="en-US" altLang="zh-CN"/>
                      <a:t>100%</a:t>
                    </a:r>
                    <a:r>
                      <a:rPr lang="zh-CN" altLang="en-US"/>
                      <a:t>）</a:t>
                    </a:r>
                    <a:endParaRPr lang="en-US" altLang="en-US"/>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Sheet1!$A$2:$A$4</c:f>
              <c:strCache>
                <c:ptCount val="3"/>
                <c:pt idx="0">
                  <c:v>男毕业生</c:v>
                </c:pt>
                <c:pt idx="1">
                  <c:v>女毕业生</c:v>
                </c:pt>
                <c:pt idx="2">
                  <c:v>总毕业生</c:v>
                </c:pt>
              </c:strCache>
            </c:strRef>
          </c:cat>
          <c:val>
            <c:numRef>
              <c:f>Sheet1!$B$2:$B$4</c:f>
              <c:numCache>
                <c:formatCode>General</c:formatCode>
                <c:ptCount val="3"/>
                <c:pt idx="0">
                  <c:v>2747</c:v>
                </c:pt>
                <c:pt idx="1">
                  <c:v>1275</c:v>
                </c:pt>
                <c:pt idx="2">
                  <c:v>4022</c:v>
                </c:pt>
              </c:numCache>
            </c:numRef>
          </c:val>
        </c:ser>
        <c:ser>
          <c:idx val="1"/>
          <c:order val="1"/>
          <c:tx>
            <c:strRef>
              <c:f>Sheet1!$C$1</c:f>
              <c:strCache>
                <c:ptCount val="1"/>
                <c:pt idx="0">
                  <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Sheet1!$A$2:$A$4</c:f>
              <c:strCache>
                <c:ptCount val="3"/>
                <c:pt idx="0">
                  <c:v>男毕业生</c:v>
                </c:pt>
                <c:pt idx="1">
                  <c:v>女毕业生</c:v>
                </c:pt>
                <c:pt idx="2">
                  <c:v>总毕业生</c:v>
                </c:pt>
              </c:strCache>
            </c:strRef>
          </c:cat>
          <c:val>
            <c:numRef>
              <c:f>Sheet1!$C$2:$C$4</c:f>
              <c:numCache>
                <c:formatCode>General</c:formatCode>
                <c:ptCount val="3"/>
              </c:numCache>
            </c:numRef>
          </c:val>
        </c:ser>
        <c:ser>
          <c:idx val="2"/>
          <c:order val="2"/>
          <c:tx>
            <c:strRef>
              <c:f>Sheet1!$D$1</c:f>
              <c:strCache>
                <c:ptCount val="1"/>
                <c:pt idx="0">
                  <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Sheet1!$A$2:$A$4</c:f>
              <c:strCache>
                <c:ptCount val="3"/>
                <c:pt idx="0">
                  <c:v>男毕业生</c:v>
                </c:pt>
                <c:pt idx="1">
                  <c:v>女毕业生</c:v>
                </c:pt>
                <c:pt idx="2">
                  <c:v>总毕业生</c:v>
                </c:pt>
              </c:strCache>
            </c:strRef>
          </c:cat>
          <c:val>
            <c:numRef>
              <c:f>Sheet1!$D$2:$D$4</c:f>
              <c:numCache>
                <c:formatCode>General</c:formatCode>
                <c:ptCount val="3"/>
              </c:numCache>
            </c:numRef>
          </c:val>
        </c:ser>
        <c:dLbls>
          <c:showLegendKey val="0"/>
          <c:showVal val="1"/>
          <c:showCatName val="0"/>
          <c:showSerName val="0"/>
          <c:showPercent val="0"/>
          <c:showBubbleSize val="0"/>
        </c:dLbls>
        <c:gapWidth val="150"/>
        <c:axId val="237013632"/>
        <c:axId val="237123840"/>
      </c:barChart>
      <c:catAx>
        <c:axId val="23701363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37123840"/>
        <c:crosses val="autoZero"/>
        <c:auto val="1"/>
        <c:lblAlgn val="ctr"/>
        <c:lblOffset val="100"/>
        <c:noMultiLvlLbl val="0"/>
      </c:catAx>
      <c:valAx>
        <c:axId val="23712384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37013632"/>
        <c:crosses val="autoZero"/>
        <c:crossBetween val="between"/>
      </c:valAx>
    </c:plotArea>
    <c:legend>
      <c:legendPos val="r"/>
      <c:legendEntry>
        <c:idx val="1"/>
        <c:delete val="1"/>
      </c:legendEntry>
      <c:legendEntry>
        <c:idx val="2"/>
        <c:delete val="1"/>
      </c:legendEntry>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百分比</c:v>
                </c:pt>
              </c:strCache>
            </c:strRef>
          </c:tx>
          <c:spPr>
            <a:solidFill>
              <a:schemeClr val="accent1"/>
            </a:solidFill>
            <a:ln>
              <a:noFill/>
            </a:ln>
            <a:effectLst/>
          </c:spPr>
          <c:invertIfNegative val="0"/>
          <c:dLbls>
            <c:dLbl>
              <c:idx val="0"/>
              <c:layout>
                <c:manualLayout>
                  <c:x val="0.0599066390041497"/>
                  <c:y val="0.00347725297015358"/>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857105809128631"/>
                  <c:y val="0.00724427702115329"/>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111903526970954"/>
                  <c:y val="0.00695450594030716"/>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122276970954358"/>
                  <c:y val="0.00405679513184584"/>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123184647302904"/>
                  <c:y val="-0.00927267458707621"/>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151322614107884"/>
                  <c:y val="0.00144885540423066"/>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159102697095435"/>
                  <c:y val="0.00463633729353811"/>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203449170124482"/>
                  <c:y val="0.00869313242538391"/>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319372406639004"/>
                  <c:y val="0.00724427702115329"/>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Sheet1!$A$2:$A$10</c:f>
              <c:strCache>
                <c:ptCount val="9"/>
                <c:pt idx="0">
                  <c:v>社会对母校专业认可度不高</c:v>
                </c:pt>
                <c:pt idx="1">
                  <c:v>专业工作环境差</c:v>
                </c:pt>
                <c:pt idx="2">
                  <c:v>对本专业工作无兴趣</c:v>
                </c:pt>
                <c:pt idx="3">
                  <c:v>专业工作与自身理想不符</c:v>
                </c:pt>
                <c:pt idx="4">
                  <c:v>其他</c:v>
                </c:pt>
                <c:pt idx="5">
                  <c:v>达不到专业相关工作的要求</c:v>
                </c:pt>
                <c:pt idx="6">
                  <c:v>专业工作收入水平较低</c:v>
                </c:pt>
                <c:pt idx="7">
                  <c:v>专业工作岗位招聘少</c:v>
                </c:pt>
                <c:pt idx="8">
                  <c:v>迫于现实先就业再择业</c:v>
                </c:pt>
              </c:strCache>
            </c:strRef>
          </c:cat>
          <c:val>
            <c:numRef>
              <c:f>Sheet1!$B$2:$B$10</c:f>
              <c:numCache>
                <c:formatCode>0.00%</c:formatCode>
                <c:ptCount val="9"/>
                <c:pt idx="0">
                  <c:v>0.019</c:v>
                </c:pt>
                <c:pt idx="1">
                  <c:v>0.0456</c:v>
                </c:pt>
                <c:pt idx="2">
                  <c:v>0.0798</c:v>
                </c:pt>
                <c:pt idx="3">
                  <c:v>0.0837</c:v>
                </c:pt>
                <c:pt idx="4">
                  <c:v>0.0855</c:v>
                </c:pt>
                <c:pt idx="5">
                  <c:v>0.1103</c:v>
                </c:pt>
                <c:pt idx="6">
                  <c:v>0.1198</c:v>
                </c:pt>
                <c:pt idx="7">
                  <c:v>0.1578</c:v>
                </c:pt>
                <c:pt idx="8">
                  <c:v>0.2985</c:v>
                </c:pt>
              </c:numCache>
            </c:numRef>
          </c:val>
        </c:ser>
        <c:dLbls>
          <c:showLegendKey val="0"/>
          <c:showVal val="1"/>
          <c:showCatName val="0"/>
          <c:showSerName val="0"/>
          <c:showPercent val="0"/>
          <c:showBubbleSize val="0"/>
        </c:dLbls>
        <c:gapWidth val="150"/>
        <c:overlap val="100"/>
        <c:axId val="224227186"/>
        <c:axId val="104878663"/>
      </c:barChart>
      <c:catAx>
        <c:axId val="224227186"/>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4878663"/>
        <c:crosses val="autoZero"/>
        <c:auto val="1"/>
        <c:lblAlgn val="ctr"/>
        <c:lblOffset val="100"/>
        <c:noMultiLvlLbl val="0"/>
      </c:catAx>
      <c:valAx>
        <c:axId val="104878663"/>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2422718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百分比</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layout>
                <c:manualLayout>
                  <c:x val="-0.00616752877438726"/>
                  <c:y val="0.063442301121840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35003910145497"/>
                  <c:y val="0.075200105339926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456078936660163"/>
                  <c:y val="-0.20033846190742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119553535209873"/>
                  <c:y val="0.058159909141773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非常匹配</c:v>
                </c:pt>
                <c:pt idx="1">
                  <c:v>比较匹配</c:v>
                </c:pt>
                <c:pt idx="2">
                  <c:v>匹配</c:v>
                </c:pt>
                <c:pt idx="3">
                  <c:v>不太匹配</c:v>
                </c:pt>
                <c:pt idx="4">
                  <c:v>不匹配</c:v>
                </c:pt>
              </c:strCache>
            </c:strRef>
          </c:cat>
          <c:val>
            <c:numRef>
              <c:f>Sheet1!$B$2:$B$6</c:f>
              <c:numCache>
                <c:formatCode>0.00%</c:formatCode>
                <c:ptCount val="5"/>
                <c:pt idx="0">
                  <c:v>0.0611</c:v>
                </c:pt>
                <c:pt idx="1">
                  <c:v>0.2524</c:v>
                </c:pt>
                <c:pt idx="2">
                  <c:v>0.3092</c:v>
                </c:pt>
                <c:pt idx="3">
                  <c:v>0.2917</c:v>
                </c:pt>
                <c:pt idx="4">
                  <c:v>0.0856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百分比</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layout>
                <c:manualLayout>
                  <c:x val="0.0282709011738996"/>
                  <c:y val="0"/>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0.128741565189159"/>
                  <c:y val="0.119500068644127"/>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2"/>
              <c:layout>
                <c:manualLayout>
                  <c:x val="-0.0108243119427982"/>
                  <c:y val="-0.221287026892966"/>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3"/>
              <c:layout>
                <c:manualLayout>
                  <c:x val="0.186227026665812"/>
                  <c:y val="0.0720428451836288"/>
                </c:manualLayout>
              </c:layout>
              <c:dLblPos val="bestFit"/>
              <c:showLegendKey val="0"/>
              <c:showVal val="1"/>
              <c:showCatName val="1"/>
              <c:showSerName val="0"/>
              <c:showPercent val="0"/>
              <c:showBubbleSize val="0"/>
              <c:extLst>
                <c:ext xmlns:c15="http://schemas.microsoft.com/office/drawing/2012/chart" uri="{CE6537A1-D6FC-4f65-9D91-7224C49458BB}">
                  <c15:layout>
                    <c:manualLayout>
                      <c:w val="0.139392030240983"/>
                      <c:h val="0.169566346403532"/>
                    </c:manualLayout>
                  </c15:layout>
                </c:ext>
              </c:extLst>
            </c:dLbl>
            <c:dLbl>
              <c:idx val="4"/>
              <c:layout>
                <c:manualLayout>
                  <c:x val="0.032967989816887"/>
                  <c:y val="0.110322402277642"/>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不满意</c:v>
                </c:pt>
                <c:pt idx="1">
                  <c:v>不太满意</c:v>
                </c:pt>
                <c:pt idx="2">
                  <c:v>满意</c:v>
                </c:pt>
                <c:pt idx="3">
                  <c:v>比较满意</c:v>
                </c:pt>
                <c:pt idx="4">
                  <c:v>非常满意</c:v>
                </c:pt>
              </c:strCache>
            </c:strRef>
          </c:cat>
          <c:val>
            <c:numRef>
              <c:f>Sheet1!$B$2:$B$6</c:f>
              <c:numCache>
                <c:formatCode>0.00%</c:formatCode>
                <c:ptCount val="5"/>
                <c:pt idx="0">
                  <c:v>0.0524</c:v>
                </c:pt>
                <c:pt idx="1">
                  <c:v>0.1834</c:v>
                </c:pt>
                <c:pt idx="2">
                  <c:v>0.4463</c:v>
                </c:pt>
                <c:pt idx="3">
                  <c:v>0.2271</c:v>
                </c:pt>
                <c:pt idx="4">
                  <c:v>0.0908</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百分比</c:v>
                </c:pt>
              </c:strCache>
            </c:strRef>
          </c:tx>
          <c:spPr>
            <a:solidFill>
              <a:schemeClr val="accent1"/>
            </a:solidFill>
            <a:ln>
              <a:noFill/>
            </a:ln>
            <a:effectLst/>
          </c:spPr>
          <c:invertIfNegative val="0"/>
          <c:dPt>
            <c:idx val="0"/>
            <c:invertIfNegative val="0"/>
            <c:bubble3D val="0"/>
            <c:spPr>
              <a:gradFill>
                <a:gsLst>
                  <a:gs pos="0">
                    <a:srgbClr val="14CD68"/>
                  </a:gs>
                  <a:gs pos="100000">
                    <a:srgbClr val="035C7D"/>
                  </a:gs>
                </a:gsLst>
                <a:lin scaled="0"/>
              </a:gradFill>
              <a:ln>
                <a:noFill/>
              </a:ln>
              <a:effectLst/>
            </c:spPr>
          </c:dPt>
          <c:dPt>
            <c:idx val="1"/>
            <c:invertIfNegative val="0"/>
            <c:bubble3D val="0"/>
            <c:spPr>
              <a:gradFill>
                <a:gsLst>
                  <a:gs pos="0">
                    <a:srgbClr val="FECF40"/>
                  </a:gs>
                  <a:gs pos="100000">
                    <a:srgbClr val="846C21"/>
                  </a:gs>
                </a:gsLst>
                <a:lin scaled="0"/>
              </a:gradFill>
              <a:ln>
                <a:noFill/>
              </a:ln>
              <a:effectLst/>
            </c:spPr>
          </c:dPt>
          <c:dPt>
            <c:idx val="2"/>
            <c:invertIfNegative val="0"/>
            <c:bubble3D val="0"/>
            <c:spPr>
              <a:gradFill>
                <a:gsLst>
                  <a:gs pos="0">
                    <a:srgbClr val="FE4444"/>
                  </a:gs>
                  <a:gs pos="100000">
                    <a:srgbClr val="832B2B"/>
                  </a:gs>
                </a:gsLst>
                <a:lin scaled="0"/>
              </a:gradFill>
              <a:ln>
                <a:noFill/>
              </a:ln>
              <a:effectLst/>
            </c:spPr>
          </c:dPt>
          <c:dPt>
            <c:idx val="3"/>
            <c:invertIfNegative val="0"/>
            <c:bubble3D val="0"/>
            <c:spPr>
              <a:gradFill>
                <a:gsLst>
                  <a:gs pos="0">
                    <a:srgbClr val="007BD3"/>
                  </a:gs>
                  <a:gs pos="100000">
                    <a:srgbClr val="034373"/>
                  </a:gs>
                </a:gsLst>
                <a:lin scaled="0"/>
              </a:gradFill>
              <a:ln>
                <a:noFill/>
              </a:ln>
              <a:effectLst/>
            </c:spPr>
          </c:dPt>
          <c:dLbls>
            <c:dLbl>
              <c:idx val="0"/>
              <c:layout>
                <c:manualLayout>
                  <c:x val="0.00462795227262829"/>
                  <c:y val="-0.335979636527604"/>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591422260787279"/>
                  <c:y val="-0.258277271812637"/>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0295068282073835"/>
                  <c:y val="-0.16190397054898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0713405665187705"/>
                  <c:y val="-0.1114606416713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Sheet1!$A$2:$A$5</c:f>
              <c:strCache>
                <c:ptCount val="4"/>
                <c:pt idx="0">
                  <c:v>0次</c:v>
                </c:pt>
                <c:pt idx="1">
                  <c:v>1次</c:v>
                </c:pt>
                <c:pt idx="2">
                  <c:v>2次</c:v>
                </c:pt>
                <c:pt idx="3">
                  <c:v>3次及以上</c:v>
                </c:pt>
              </c:strCache>
            </c:strRef>
          </c:cat>
          <c:val>
            <c:numRef>
              <c:f>Sheet1!$B$2:$B$5</c:f>
              <c:numCache>
                <c:formatCode>0.00%</c:formatCode>
                <c:ptCount val="4"/>
                <c:pt idx="0">
                  <c:v>0.455</c:v>
                </c:pt>
                <c:pt idx="1">
                  <c:v>0.2882</c:v>
                </c:pt>
                <c:pt idx="2">
                  <c:v>0.1564</c:v>
                </c:pt>
                <c:pt idx="3">
                  <c:v>0.1004</c:v>
                </c:pt>
              </c:numCache>
            </c:numRef>
          </c:val>
        </c:ser>
        <c:dLbls>
          <c:showLegendKey val="0"/>
          <c:showVal val="1"/>
          <c:showCatName val="0"/>
          <c:showSerName val="0"/>
          <c:showPercent val="0"/>
          <c:showBubbleSize val="0"/>
        </c:dLbls>
        <c:gapWidth val="150"/>
        <c:overlap val="100"/>
        <c:axId val="965939547"/>
        <c:axId val="867052240"/>
      </c:barChart>
      <c:catAx>
        <c:axId val="96593954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67052240"/>
        <c:crosses val="autoZero"/>
        <c:auto val="1"/>
        <c:lblAlgn val="ctr"/>
        <c:lblOffset val="100"/>
        <c:noMultiLvlLbl val="0"/>
      </c:catAx>
      <c:valAx>
        <c:axId val="86705224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6593954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百分比</c:v>
                </c:pt>
              </c:strCache>
            </c:strRef>
          </c:tx>
          <c:spPr>
            <a:solidFill>
              <a:schemeClr val="accent1"/>
            </a:solidFill>
            <a:ln>
              <a:noFill/>
            </a:ln>
            <a:effectLst/>
          </c:spPr>
          <c:invertIfNegative val="0"/>
          <c:dLbls>
            <c:dLbl>
              <c:idx val="0"/>
              <c:layout>
                <c:manualLayout>
                  <c:x val="0.0450531325150692"/>
                  <c:y val="-0.0076026310067406"/>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529430330800611"/>
                  <c:y val="-0.00460926288323546"/>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710843028097903"/>
                  <c:y val="-0.0018684626948334"/>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729882716586434"/>
                  <c:y val="-0.0022275364354122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902074605256701"/>
                  <c:y val="-0.000634294382926359"/>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952994934927021"/>
                  <c:y val="0.0021416351669758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982369707197663"/>
                  <c:y val="0.00118850592758815"/>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113187097058443"/>
                  <c:y val="0.00746099583976469"/>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113929492198828"/>
                  <c:y val="0.0031634744278973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133296703296703"/>
                  <c:y val="-0.000217438573602957"/>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0.167472527472528"/>
                  <c:y val="0.00260926288323549"/>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0.21978021978022"/>
                  <c:y val="0.00826266579691237"/>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2"/>
              <c:layout>
                <c:manualLayout>
                  <c:x val="0.282857142857143"/>
                  <c:y val="0.000217438573602957"/>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0.0786813186813187"/>
                      <c:h val="0.0482713633398565"/>
                    </c:manualLayout>
                  </c15:layout>
                </c:ext>
              </c:extLst>
            </c:dLbl>
            <c:dLbl>
              <c:idx val="13"/>
              <c:layout>
                <c:manualLayout>
                  <c:x val="0.335164835164835"/>
                  <c:y val="0"/>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Sheet1!$A$2:$A$15</c:f>
              <c:strCache>
                <c:ptCount val="14"/>
                <c:pt idx="0">
                  <c:v>被单位裁员或解聘</c:v>
                </c:pt>
                <c:pt idx="1">
                  <c:v>工作单位倒闭</c:v>
                </c:pt>
                <c:pt idx="2">
                  <c:v>对单位管理制度和文化不适应</c:v>
                </c:pt>
                <c:pt idx="3">
                  <c:v>人际关系因素</c:v>
                </c:pt>
                <c:pt idx="4">
                  <c:v>家庭原因</c:v>
                </c:pt>
                <c:pt idx="5">
                  <c:v>工作内容不喜欢</c:v>
                </c:pt>
                <c:pt idx="6">
                  <c:v>入职后发现与面试时描述不符</c:v>
                </c:pt>
                <c:pt idx="7">
                  <c:v>工作地域问题</c:v>
                </c:pt>
                <c:pt idx="8">
                  <c:v>其他</c:v>
                </c:pt>
                <c:pt idx="9">
                  <c:v>想改变职业或行业</c:v>
                </c:pt>
                <c:pt idx="10">
                  <c:v>工作环境不好</c:v>
                </c:pt>
                <c:pt idx="11">
                  <c:v>工作压力大</c:v>
                </c:pt>
                <c:pt idx="12">
                  <c:v>发展空间不大</c:v>
                </c:pt>
                <c:pt idx="13">
                  <c:v>薪资福利差</c:v>
                </c:pt>
              </c:strCache>
            </c:strRef>
          </c:cat>
          <c:val>
            <c:numRef>
              <c:f>Sheet1!$B$2:$B$15</c:f>
              <c:numCache>
                <c:formatCode>0.00%</c:formatCode>
                <c:ptCount val="14"/>
                <c:pt idx="0">
                  <c:v>0.0144</c:v>
                </c:pt>
                <c:pt idx="1">
                  <c:v>0.024</c:v>
                </c:pt>
                <c:pt idx="2">
                  <c:v>0.0497</c:v>
                </c:pt>
                <c:pt idx="3">
                  <c:v>0.0529</c:v>
                </c:pt>
                <c:pt idx="4">
                  <c:v>0.0769</c:v>
                </c:pt>
                <c:pt idx="5">
                  <c:v>0.0929</c:v>
                </c:pt>
                <c:pt idx="6">
                  <c:v>0.0929</c:v>
                </c:pt>
                <c:pt idx="7">
                  <c:v>0.1106</c:v>
                </c:pt>
                <c:pt idx="8">
                  <c:v>0.1202</c:v>
                </c:pt>
                <c:pt idx="9">
                  <c:v>0.1394</c:v>
                </c:pt>
                <c:pt idx="10">
                  <c:v>0.1939</c:v>
                </c:pt>
                <c:pt idx="11">
                  <c:v>0.2692</c:v>
                </c:pt>
                <c:pt idx="12">
                  <c:v>0.3622</c:v>
                </c:pt>
                <c:pt idx="13">
                  <c:v>0.4343</c:v>
                </c:pt>
              </c:numCache>
            </c:numRef>
          </c:val>
        </c:ser>
        <c:dLbls>
          <c:showLegendKey val="0"/>
          <c:showVal val="1"/>
          <c:showCatName val="0"/>
          <c:showSerName val="0"/>
          <c:showPercent val="0"/>
          <c:showBubbleSize val="0"/>
        </c:dLbls>
        <c:gapWidth val="150"/>
        <c:overlap val="100"/>
        <c:axId val="92874544"/>
        <c:axId val="722728070"/>
      </c:barChart>
      <c:catAx>
        <c:axId val="92874544"/>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22728070"/>
        <c:crosses val="autoZero"/>
        <c:auto val="1"/>
        <c:lblAlgn val="ctr"/>
        <c:lblOffset val="100"/>
        <c:noMultiLvlLbl val="0"/>
      </c:catAx>
      <c:valAx>
        <c:axId val="722728070"/>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8745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百分比</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layout>
                <c:manualLayout>
                  <c:x val="-0.0241557416299999"/>
                  <c:y val="0.13446719643291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21722724092574"/>
                  <c:y val="-0.021723108076514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464479527275205"/>
                  <c:y val="-0.1605114136385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882948051533826"/>
                  <c:y val="0.097564983294978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非常稳定</c:v>
                </c:pt>
                <c:pt idx="1">
                  <c:v>比较稳定</c:v>
                </c:pt>
                <c:pt idx="2">
                  <c:v>稳定</c:v>
                </c:pt>
                <c:pt idx="3">
                  <c:v>不太稳定</c:v>
                </c:pt>
                <c:pt idx="4">
                  <c:v>不稳定</c:v>
                </c:pt>
              </c:strCache>
            </c:strRef>
          </c:cat>
          <c:val>
            <c:numRef>
              <c:f>Sheet1!$B$2:$B$6</c:f>
              <c:numCache>
                <c:formatCode>0.00%</c:formatCode>
                <c:ptCount val="5"/>
                <c:pt idx="0">
                  <c:v>0.09</c:v>
                </c:pt>
                <c:pt idx="1">
                  <c:v>0.3004</c:v>
                </c:pt>
                <c:pt idx="2">
                  <c:v>0.3642</c:v>
                </c:pt>
                <c:pt idx="3">
                  <c:v>0.1991</c:v>
                </c:pt>
                <c:pt idx="4">
                  <c:v>0.0463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百分比</c:v>
                </c:pt>
              </c:strCache>
            </c:strRef>
          </c:tx>
          <c:spPr>
            <a:solidFill>
              <a:schemeClr val="accent1"/>
            </a:solidFill>
            <a:ln>
              <a:noFill/>
            </a:ln>
            <a:effectLst/>
          </c:spPr>
          <c:invertIfNegative val="0"/>
          <c:dLbls>
            <c:dLbl>
              <c:idx val="0"/>
              <c:layout>
                <c:manualLayout>
                  <c:x val="0.06875"/>
                  <c:y val="-0.00216666666666667"/>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698161813588618"/>
                  <c:y val="-0.00677897252090798"/>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747062724371759"/>
                  <c:y val="-0.0076899641577061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802166101582236"/>
                  <c:y val="0.00199999999999997"/>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827142334795905"/>
                  <c:y val="0.00199999999999997"/>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933058730789945"/>
                  <c:y val="-0.00560490627377686"/>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947160118335328"/>
                  <c:y val="0"/>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100796274957119"/>
                  <c:y val="-0.0081553166069295"/>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219701331744117"/>
                  <c:y val="-0.00099260041953548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295864912596559"/>
                  <c:y val="-0.003584229390681"/>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Sheet1!$A$2:$A$11</c:f>
              <c:strCache>
                <c:ptCount val="10"/>
                <c:pt idx="0">
                  <c:v>新媒体平台发布的信息</c:v>
                </c:pt>
                <c:pt idx="1">
                  <c:v>学校官网或公众号发布的招聘信息</c:v>
                </c:pt>
                <c:pt idx="2">
                  <c:v>老师推荐</c:v>
                </c:pt>
                <c:pt idx="3">
                  <c:v>专业实习后与单位签订正式就业协议</c:v>
                </c:pt>
                <c:pt idx="4">
                  <c:v>政府/社会组织的招聘会</c:v>
                </c:pt>
                <c:pt idx="5">
                  <c:v>其他</c:v>
                </c:pt>
                <c:pt idx="6">
                  <c:v>校园招聘会(双选会/宣讲会)</c:v>
                </c:pt>
                <c:pt idx="7">
                  <c:v>用人单位内部招聘渠道</c:v>
                </c:pt>
                <c:pt idx="8">
                  <c:v>家庭亲友推荐</c:v>
                </c:pt>
                <c:pt idx="9">
                  <c:v>各类招聘网站</c:v>
                </c:pt>
              </c:strCache>
            </c:strRef>
          </c:cat>
          <c:val>
            <c:numRef>
              <c:f>Sheet1!$B$2:$B$11</c:f>
              <c:numCache>
                <c:formatCode>0.00%</c:formatCode>
                <c:ptCount val="10"/>
                <c:pt idx="0">
                  <c:v>0.0218</c:v>
                </c:pt>
                <c:pt idx="1">
                  <c:v>0.0262</c:v>
                </c:pt>
                <c:pt idx="2">
                  <c:v>0.0262</c:v>
                </c:pt>
                <c:pt idx="3">
                  <c:v>0.0463</c:v>
                </c:pt>
                <c:pt idx="4">
                  <c:v>0.0559</c:v>
                </c:pt>
                <c:pt idx="5">
                  <c:v>0.0708</c:v>
                </c:pt>
                <c:pt idx="6">
                  <c:v>0.0716</c:v>
                </c:pt>
                <c:pt idx="7">
                  <c:v>0.0873</c:v>
                </c:pt>
                <c:pt idx="8">
                  <c:v>0.248</c:v>
                </c:pt>
                <c:pt idx="9">
                  <c:v>0.3459</c:v>
                </c:pt>
              </c:numCache>
            </c:numRef>
          </c:val>
        </c:ser>
        <c:dLbls>
          <c:showLegendKey val="0"/>
          <c:showVal val="1"/>
          <c:showCatName val="0"/>
          <c:showSerName val="0"/>
          <c:showPercent val="0"/>
          <c:showBubbleSize val="0"/>
        </c:dLbls>
        <c:gapWidth val="150"/>
        <c:overlap val="100"/>
        <c:axId val="92874544"/>
        <c:axId val="722728070"/>
      </c:barChart>
      <c:catAx>
        <c:axId val="92874544"/>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22728070"/>
        <c:crosses val="autoZero"/>
        <c:auto val="1"/>
        <c:lblAlgn val="ctr"/>
        <c:lblOffset val="100"/>
        <c:noMultiLvlLbl val="0"/>
      </c:catAx>
      <c:valAx>
        <c:axId val="722728070"/>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8745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百分比</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0969639660626799"/>
                  <c:y val="-0.17121463065696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84056995336556"/>
                  <c:y val="0.14861576929723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有影响</c:v>
                </c:pt>
                <c:pt idx="1">
                  <c:v>无影响</c:v>
                </c:pt>
              </c:strCache>
            </c:strRef>
          </c:cat>
          <c:val>
            <c:numRef>
              <c:f>Sheet1!$B$2:$B$3</c:f>
              <c:numCache>
                <c:formatCode>0.00%</c:formatCode>
                <c:ptCount val="2"/>
                <c:pt idx="0">
                  <c:v>0.7999</c:v>
                </c:pt>
                <c:pt idx="1">
                  <c:v>0.2001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7374737102561"/>
          <c:y val="0.0542673902318698"/>
          <c:w val="0.83058270444142"/>
          <c:h val="0.63334977799704"/>
        </c:manualLayout>
      </c:layout>
      <c:barChart>
        <c:barDir val="col"/>
        <c:grouping val="stacked"/>
        <c:varyColors val="0"/>
        <c:ser>
          <c:idx val="0"/>
          <c:order val="0"/>
          <c:tx>
            <c:strRef>
              <c:f>Sheet1!$B$1</c:f>
              <c:strCache>
                <c:ptCount val="1"/>
                <c:pt idx="0">
                  <c:v>百分比</c:v>
                </c:pt>
              </c:strCache>
            </c:strRef>
          </c:tx>
          <c:spPr>
            <a:gradFill>
              <a:gsLst>
                <a:gs pos="0">
                  <a:srgbClr val="FECF40"/>
                </a:gs>
                <a:gs pos="100000">
                  <a:srgbClr val="846C21"/>
                </a:gs>
              </a:gsLst>
              <a:lin scaled="0"/>
            </a:gradFill>
            <a:ln>
              <a:noFill/>
            </a:ln>
            <a:effectLst/>
          </c:spPr>
          <c:invertIfNegative val="0"/>
          <c:dPt>
            <c:idx val="1"/>
            <c:invertIfNegative val="0"/>
            <c:bubble3D val="0"/>
            <c:spPr>
              <a:gradFill>
                <a:gsLst>
                  <a:gs pos="0">
                    <a:srgbClr val="FE4444"/>
                  </a:gs>
                  <a:gs pos="100000">
                    <a:srgbClr val="832B2B"/>
                  </a:gs>
                </a:gsLst>
                <a:lin ang="0" scaled="0"/>
              </a:gradFill>
              <a:ln>
                <a:noFill/>
              </a:ln>
              <a:effectLst/>
            </c:spPr>
          </c:dPt>
          <c:dPt>
            <c:idx val="2"/>
            <c:invertIfNegative val="0"/>
            <c:bubble3D val="0"/>
            <c:spPr>
              <a:gradFill>
                <a:gsLst>
                  <a:gs pos="0">
                    <a:srgbClr val="14CD68"/>
                  </a:gs>
                  <a:gs pos="100000">
                    <a:srgbClr val="0B6E38"/>
                  </a:gs>
                </a:gsLst>
                <a:lin ang="0" scaled="0"/>
              </a:gradFill>
              <a:ln>
                <a:noFill/>
              </a:ln>
              <a:effectLst/>
            </c:spPr>
          </c:dPt>
          <c:dPt>
            <c:idx val="3"/>
            <c:invertIfNegative val="0"/>
            <c:bubble3D val="0"/>
            <c:spPr>
              <a:gradFill>
                <a:gsLst>
                  <a:gs pos="0">
                    <a:srgbClr val="7B32B2"/>
                  </a:gs>
                  <a:gs pos="100000">
                    <a:srgbClr val="401A5D"/>
                  </a:gs>
                </a:gsLst>
                <a:lin ang="0" scaled="0"/>
              </a:gradFill>
              <a:ln>
                <a:noFill/>
              </a:ln>
              <a:effectLst/>
            </c:spPr>
          </c:dPt>
          <c:dLbls>
            <c:delete val="1"/>
          </c:dLbls>
          <c:cat>
            <c:strRef>
              <c:f>Sheet1!$A$2:$A$5</c:f>
              <c:strCache>
                <c:ptCount val="4"/>
                <c:pt idx="0">
                  <c:v>秋季校招期间（2022年9月-2023年1月）</c:v>
                </c:pt>
                <c:pt idx="1">
                  <c:v>春季校招期间（2023年2月-5月）</c:v>
                </c:pt>
                <c:pt idx="2">
                  <c:v>毕业季（2023年6月-7月）</c:v>
                </c:pt>
                <c:pt idx="3">
                  <c:v>其他</c:v>
                </c:pt>
              </c:strCache>
            </c:strRef>
          </c:cat>
          <c:val>
            <c:numRef>
              <c:f>Sheet1!$B$2:$B$5</c:f>
              <c:numCache>
                <c:formatCode>0.00%</c:formatCode>
                <c:ptCount val="4"/>
                <c:pt idx="0">
                  <c:v>0.1616</c:v>
                </c:pt>
                <c:pt idx="1">
                  <c:v>0.1686</c:v>
                </c:pt>
                <c:pt idx="2">
                  <c:v>0.3528</c:v>
                </c:pt>
                <c:pt idx="3">
                  <c:v>0.317</c:v>
                </c:pt>
              </c:numCache>
            </c:numRef>
          </c:val>
        </c:ser>
        <c:dLbls>
          <c:showLegendKey val="0"/>
          <c:showVal val="0"/>
          <c:showCatName val="0"/>
          <c:showSerName val="0"/>
          <c:showPercent val="0"/>
          <c:showBubbleSize val="0"/>
        </c:dLbls>
        <c:gapWidth val="95"/>
        <c:overlap val="100"/>
        <c:axId val="489514496"/>
        <c:axId val="32202951"/>
      </c:barChart>
      <c:catAx>
        <c:axId val="48951449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202951"/>
        <c:crosses val="autoZero"/>
        <c:auto val="1"/>
        <c:lblAlgn val="ctr"/>
        <c:lblOffset val="100"/>
        <c:noMultiLvlLbl val="0"/>
      </c:catAx>
      <c:valAx>
        <c:axId val="32202951"/>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8951449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075"/>
          <c:y val="0.0305"/>
          <c:w val="0.87205"/>
          <c:h val="0.807233333333333"/>
        </c:manualLayout>
      </c:layout>
      <c:barChart>
        <c:barDir val="col"/>
        <c:grouping val="stacked"/>
        <c:varyColors val="0"/>
        <c:ser>
          <c:idx val="0"/>
          <c:order val="0"/>
          <c:tx>
            <c:strRef>
              <c:f>Sheet1!$B$1</c:f>
              <c:strCache>
                <c:ptCount val="1"/>
                <c:pt idx="0">
                  <c:v>百分比</c:v>
                </c:pt>
              </c:strCache>
            </c:strRef>
          </c:tx>
          <c:spPr>
            <a:solidFill>
              <a:schemeClr val="accent1"/>
            </a:solidFill>
            <a:ln>
              <a:noFill/>
            </a:ln>
            <a:effectLst/>
          </c:spPr>
          <c:invertIfNegative val="0"/>
          <c:dLbls>
            <c:dLbl>
              <c:idx val="0"/>
              <c:layout>
                <c:manualLayout>
                  <c:x val="0.0015"/>
                  <c:y val="-0.377166666666667"/>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0994932169031652"/>
                  <c:y val="-0.242174796747967"/>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1625"/>
                  <c:y val="-0.095833333333333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15"/>
                  <c:y val="-0.058333333333333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15"/>
                  <c:y val="-0.0311666666666667"/>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038017308591923"/>
                  <c:y val="-0.052032520325203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Sheet1!$A$2:$A$7</c:f>
              <c:strCache>
                <c:ptCount val="6"/>
                <c:pt idx="0">
                  <c:v>1个月以内</c:v>
                </c:pt>
                <c:pt idx="1">
                  <c:v>1-3个月</c:v>
                </c:pt>
                <c:pt idx="2">
                  <c:v>4-6个月</c:v>
                </c:pt>
                <c:pt idx="3">
                  <c:v>7-9个月</c:v>
                </c:pt>
                <c:pt idx="4">
                  <c:v>10-12个月</c:v>
                </c:pt>
                <c:pt idx="5">
                  <c:v>12个月以上</c:v>
                </c:pt>
              </c:strCache>
            </c:strRef>
          </c:cat>
          <c:val>
            <c:numRef>
              <c:f>Sheet1!$B$2:$B$7</c:f>
              <c:numCache>
                <c:formatCode>0.00%</c:formatCode>
                <c:ptCount val="6"/>
                <c:pt idx="0">
                  <c:v>0.4891</c:v>
                </c:pt>
                <c:pt idx="1">
                  <c:v>0.3092</c:v>
                </c:pt>
                <c:pt idx="2">
                  <c:v>0.1022</c:v>
                </c:pt>
                <c:pt idx="3">
                  <c:v>0.0401</c:v>
                </c:pt>
                <c:pt idx="4">
                  <c:v>0.014</c:v>
                </c:pt>
                <c:pt idx="5">
                  <c:v>0.0454</c:v>
                </c:pt>
              </c:numCache>
            </c:numRef>
          </c:val>
        </c:ser>
        <c:dLbls>
          <c:showLegendKey val="0"/>
          <c:showVal val="1"/>
          <c:showCatName val="0"/>
          <c:showSerName val="0"/>
          <c:showPercent val="0"/>
          <c:showBubbleSize val="0"/>
        </c:dLbls>
        <c:gapWidth val="150"/>
        <c:overlap val="100"/>
        <c:axId val="280059125"/>
        <c:axId val="741781782"/>
      </c:barChart>
      <c:catAx>
        <c:axId val="28005912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41781782"/>
        <c:crosses val="autoZero"/>
        <c:auto val="1"/>
        <c:lblAlgn val="ctr"/>
        <c:lblOffset val="100"/>
        <c:noMultiLvlLbl val="0"/>
      </c:catAx>
      <c:valAx>
        <c:axId val="74178178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005912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42764266795088"/>
          <c:y val="0.0423371647509579"/>
          <c:w val="0.692270647724537"/>
          <c:h val="0.85727969348659"/>
        </c:manualLayout>
      </c:layout>
      <c:barChart>
        <c:barDir val="col"/>
        <c:grouping val="clustered"/>
        <c:varyColors val="0"/>
        <c:ser>
          <c:idx val="0"/>
          <c:order val="0"/>
          <c:tx>
            <c:strRef>
              <c:f>Sheet1!$B$1</c:f>
              <c:strCache>
                <c:ptCount val="1"/>
                <c:pt idx="0">
                  <c:v>人数（比例）</c:v>
                </c:pt>
              </c:strCache>
            </c:strRef>
          </c:tx>
          <c:invertIfNegative val="0"/>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2236</a:t>
                    </a:r>
                    <a:r>
                      <a:rPr lang="zh-CN" altLang="en-US"/>
                      <a:t>（</a:t>
                    </a:r>
                    <a:r>
                      <a:rPr lang="en-US" altLang="zh-CN"/>
                      <a:t>55.59%</a:t>
                    </a:r>
                    <a:r>
                      <a:rPr lang="zh-CN" altLang="en-US"/>
                      <a:t>）</a:t>
                    </a:r>
                    <a:endParaRPr lang="en-US" alt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1392</a:t>
                    </a:r>
                    <a:r>
                      <a:rPr lang="zh-CN" altLang="en-US"/>
                      <a:t>（</a:t>
                    </a:r>
                    <a:r>
                      <a:rPr lang="en-US" altLang="zh-CN"/>
                      <a:t>34.61%</a:t>
                    </a:r>
                    <a:r>
                      <a:rPr lang="zh-CN" altLang="en-US"/>
                      <a:t>）</a:t>
                    </a:r>
                    <a:endParaRPr lang="en-US" alt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en-US"/>
                      <a:t>385</a:t>
                    </a:r>
                    <a:r>
                      <a:rPr lang="zh-CN" altLang="en-US"/>
                      <a:t>（</a:t>
                    </a:r>
                    <a:r>
                      <a:rPr lang="en-US" altLang="zh-CN"/>
                      <a:t>9.58%</a:t>
                    </a:r>
                    <a:r>
                      <a:rPr lang="zh-CN" altLang="en-US"/>
                      <a:t>）</a:t>
                    </a:r>
                    <a:endParaRPr lang="en-US" alt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0.00300987238141103"/>
                  <c:y val="0"/>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9</a:t>
                    </a:r>
                    <a:r>
                      <a:t>（</a:t>
                    </a:r>
                    <a:r>
                      <a:rPr lang="en-US" altLang="zh-CN"/>
                      <a:t>0.22%</a:t>
                    </a:r>
                    <a:r>
                      <a:t>）</a:t>
                    </a:r>
                  </a:p>
                </c:rich>
              </c:tx>
              <c:dLblPos val="outEnd"/>
              <c:showLegendKey val="0"/>
              <c:showVal val="1"/>
              <c:showCatName val="0"/>
              <c:showSerName val="0"/>
              <c:showPercent val="0"/>
              <c:showBubbleSize val="0"/>
              <c:extLst>
                <c:ext xmlns:c15="http://schemas.microsoft.com/office/drawing/2012/chart" uri="{CE6537A1-D6FC-4f65-9D91-7224C49458BB}">
                  <c15:layout>
                    <c:manualLayout>
                      <c:w val="0.133397543944137"/>
                      <c:h val="0.0578544061302682"/>
                    </c:manualLayout>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Sheet1!$A$2:$A$5</c:f>
              <c:strCache>
                <c:ptCount val="4"/>
                <c:pt idx="0">
                  <c:v>共青团员</c:v>
                </c:pt>
                <c:pt idx="1">
                  <c:v>群众</c:v>
                </c:pt>
                <c:pt idx="2">
                  <c:v>中共党员</c:v>
                </c:pt>
                <c:pt idx="3">
                  <c:v>中共预备党员</c:v>
                </c:pt>
              </c:strCache>
            </c:strRef>
          </c:cat>
          <c:val>
            <c:numRef>
              <c:f>Sheet1!$B$2:$B$5</c:f>
              <c:numCache>
                <c:formatCode>General</c:formatCode>
                <c:ptCount val="4"/>
                <c:pt idx="0">
                  <c:v>2236</c:v>
                </c:pt>
                <c:pt idx="1">
                  <c:v>1392</c:v>
                </c:pt>
                <c:pt idx="2">
                  <c:v>385</c:v>
                </c:pt>
                <c:pt idx="3">
                  <c:v>9</c:v>
                </c:pt>
              </c:numCache>
            </c:numRef>
          </c:val>
        </c:ser>
        <c:dLbls>
          <c:showLegendKey val="0"/>
          <c:showVal val="1"/>
          <c:showCatName val="0"/>
          <c:showSerName val="0"/>
          <c:showPercent val="0"/>
          <c:showBubbleSize val="0"/>
        </c:dLbls>
        <c:gapWidth val="150"/>
        <c:axId val="238868352"/>
        <c:axId val="239073152"/>
      </c:barChart>
      <c:catAx>
        <c:axId val="23886835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39073152"/>
        <c:crosses val="autoZero"/>
        <c:auto val="1"/>
        <c:lblAlgn val="ctr"/>
        <c:lblOffset val="100"/>
        <c:noMultiLvlLbl val="0"/>
      </c:catAx>
      <c:valAx>
        <c:axId val="23907315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3886835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百分比</c:v>
                </c:pt>
              </c:strCache>
            </c:strRef>
          </c:tx>
          <c:spPr>
            <a:solidFill>
              <a:schemeClr val="accent1"/>
            </a:solidFill>
            <a:ln>
              <a:noFill/>
            </a:ln>
            <a:effectLst/>
          </c:spPr>
          <c:invertIfNegative val="0"/>
          <c:dPt>
            <c:idx val="0"/>
            <c:invertIfNegative val="0"/>
            <c:bubble3D val="0"/>
            <c:spPr>
              <a:gradFill>
                <a:gsLst>
                  <a:gs pos="0">
                    <a:srgbClr val="14CD68"/>
                  </a:gs>
                  <a:gs pos="100000">
                    <a:srgbClr val="035C7D"/>
                  </a:gs>
                </a:gsLst>
                <a:lin scaled="0"/>
              </a:gradFill>
              <a:ln>
                <a:noFill/>
              </a:ln>
              <a:effectLst/>
            </c:spPr>
          </c:dPt>
          <c:dPt>
            <c:idx val="1"/>
            <c:invertIfNegative val="0"/>
            <c:bubble3D val="0"/>
            <c:spPr>
              <a:gradFill>
                <a:gsLst>
                  <a:gs pos="0">
                    <a:srgbClr val="FECF40"/>
                  </a:gs>
                  <a:gs pos="100000">
                    <a:srgbClr val="846C21"/>
                  </a:gs>
                </a:gsLst>
                <a:lin scaled="0"/>
              </a:gradFill>
              <a:ln>
                <a:noFill/>
              </a:ln>
              <a:effectLst/>
            </c:spPr>
          </c:dPt>
          <c:dPt>
            <c:idx val="2"/>
            <c:invertIfNegative val="0"/>
            <c:bubble3D val="0"/>
            <c:spPr>
              <a:gradFill>
                <a:gsLst>
                  <a:gs pos="0">
                    <a:srgbClr val="FE4444"/>
                  </a:gs>
                  <a:gs pos="100000">
                    <a:srgbClr val="832B2B"/>
                  </a:gs>
                </a:gsLst>
                <a:lin scaled="0"/>
              </a:gradFill>
              <a:ln>
                <a:noFill/>
              </a:ln>
              <a:effectLst/>
            </c:spPr>
          </c:dPt>
          <c:dPt>
            <c:idx val="3"/>
            <c:invertIfNegative val="0"/>
            <c:bubble3D val="0"/>
            <c:spPr>
              <a:gradFill>
                <a:gsLst>
                  <a:gs pos="0">
                    <a:srgbClr val="007BD3"/>
                  </a:gs>
                  <a:gs pos="100000">
                    <a:srgbClr val="034373"/>
                  </a:gs>
                </a:gsLst>
                <a:lin scaled="0"/>
              </a:gradFill>
              <a:ln>
                <a:noFill/>
              </a:ln>
              <a:effectLst/>
            </c:spPr>
          </c:dPt>
          <c:dPt>
            <c:idx val="4"/>
            <c:invertIfNegative val="0"/>
            <c:bubble3D val="0"/>
            <c:spPr>
              <a:gradFill>
                <a:gsLst>
                  <a:gs pos="0">
                    <a:srgbClr val="012D86"/>
                  </a:gs>
                  <a:gs pos="100000">
                    <a:srgbClr val="0E2557"/>
                  </a:gs>
                </a:gsLst>
                <a:lin scaled="0"/>
              </a:gradFill>
              <a:ln>
                <a:noFill/>
              </a:ln>
              <a:effectLst/>
            </c:spPr>
          </c:dPt>
          <c:dLbls>
            <c:dLbl>
              <c:idx val="0"/>
              <c:layout>
                <c:manualLayout>
                  <c:x val="0.00265003897116134"/>
                  <c:y val="-0.325347291815796"/>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232708281490617"/>
                  <c:y val="-0.36348152475052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0295068282073835"/>
                  <c:y val="-0.326425515036951"/>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466923226812159"/>
                  <c:y val="-0.093833333333333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0869154325798915"/>
                  <c:y val="-0.242267090710675"/>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Sheet1!$A$2:$A$6</c:f>
              <c:strCache>
                <c:ptCount val="5"/>
                <c:pt idx="0">
                  <c:v>1个</c:v>
                </c:pt>
                <c:pt idx="1">
                  <c:v>2个</c:v>
                </c:pt>
                <c:pt idx="2">
                  <c:v>3个</c:v>
                </c:pt>
                <c:pt idx="3">
                  <c:v>4个</c:v>
                </c:pt>
                <c:pt idx="4">
                  <c:v>5个及以上</c:v>
                </c:pt>
              </c:strCache>
            </c:strRef>
          </c:cat>
          <c:val>
            <c:numRef>
              <c:f>Sheet1!$B$2:$B$6</c:f>
              <c:numCache>
                <c:formatCode>0.00%</c:formatCode>
                <c:ptCount val="5"/>
                <c:pt idx="0">
                  <c:v>0.2411</c:v>
                </c:pt>
                <c:pt idx="1">
                  <c:v>0.2873</c:v>
                </c:pt>
                <c:pt idx="2">
                  <c:v>0.2454</c:v>
                </c:pt>
                <c:pt idx="3">
                  <c:v>0.0437</c:v>
                </c:pt>
                <c:pt idx="4">
                  <c:v>0.1825</c:v>
                </c:pt>
              </c:numCache>
            </c:numRef>
          </c:val>
        </c:ser>
        <c:dLbls>
          <c:showLegendKey val="0"/>
          <c:showVal val="1"/>
          <c:showCatName val="0"/>
          <c:showSerName val="0"/>
          <c:showPercent val="0"/>
          <c:showBubbleSize val="0"/>
        </c:dLbls>
        <c:gapWidth val="150"/>
        <c:overlap val="100"/>
        <c:axId val="965939547"/>
        <c:axId val="867052240"/>
      </c:barChart>
      <c:catAx>
        <c:axId val="96593954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67052240"/>
        <c:crosses val="autoZero"/>
        <c:auto val="1"/>
        <c:lblAlgn val="ctr"/>
        <c:lblOffset val="100"/>
        <c:noMultiLvlLbl val="0"/>
      </c:catAx>
      <c:valAx>
        <c:axId val="86705224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6593954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系列 1</c:v>
                </c:pt>
              </c:strCache>
            </c:strRef>
          </c:tx>
          <c:spPr>
            <a:solidFill>
              <a:schemeClr val="accent1"/>
            </a:solidFill>
            <a:ln>
              <a:noFill/>
            </a:ln>
            <a:effectLst/>
          </c:spPr>
          <c:invertIfNegative val="0"/>
          <c:dLbls>
            <c:dLbl>
              <c:idx val="0"/>
              <c:layout>
                <c:manualLayout>
                  <c:x val="0.122270596070678"/>
                  <c:y val="0.0077816638682431"/>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73431647337112"/>
                  <c:y val="0.000960943485832498"/>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184687187465274"/>
                  <c:y val="0"/>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19391768696964"/>
                  <c:y val="0.00616360270009384"/>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249966895077893"/>
                  <c:y val="0.00797130522214766"/>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282198152482777"/>
                  <c:y val="-0.000824638804893417"/>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340386506424409"/>
                  <c:y val="0.0051892961020676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342262891647099"/>
                  <c:y val="0.00571028385522568"/>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Sheet1!$A$2:$A$9</c:f>
              <c:strCache>
                <c:ptCount val="8"/>
                <c:pt idx="0">
                  <c:v>解决基本问题能力</c:v>
                </c:pt>
                <c:pt idx="1">
                  <c:v>其他</c:v>
                </c:pt>
                <c:pt idx="2">
                  <c:v>求职技能</c:v>
                </c:pt>
                <c:pt idx="3">
                  <c:v>对企业岗位专业知识的了解</c:v>
                </c:pt>
                <c:pt idx="4">
                  <c:v>承受压力和克服困难的能力</c:v>
                </c:pt>
                <c:pt idx="5">
                  <c:v>对社会的了解</c:v>
                </c:pt>
                <c:pt idx="6">
                  <c:v>专业知识和技能</c:v>
                </c:pt>
                <c:pt idx="7">
                  <c:v>沟通协调能力</c:v>
                </c:pt>
              </c:strCache>
            </c:strRef>
          </c:cat>
          <c:val>
            <c:numRef>
              <c:f>Sheet1!$B$2:$B$9</c:f>
              <c:numCache>
                <c:formatCode>0.00%</c:formatCode>
                <c:ptCount val="8"/>
                <c:pt idx="0">
                  <c:v>0.1019</c:v>
                </c:pt>
                <c:pt idx="1">
                  <c:v>0.1714</c:v>
                </c:pt>
                <c:pt idx="2">
                  <c:v>0.1977</c:v>
                </c:pt>
                <c:pt idx="3">
                  <c:v>0.2012</c:v>
                </c:pt>
                <c:pt idx="4">
                  <c:v>0.2663</c:v>
                </c:pt>
                <c:pt idx="5">
                  <c:v>0.3093</c:v>
                </c:pt>
                <c:pt idx="6">
                  <c:v>0.3866</c:v>
                </c:pt>
                <c:pt idx="7">
                  <c:v>0.3893</c:v>
                </c:pt>
              </c:numCache>
            </c:numRef>
          </c:val>
        </c:ser>
        <c:dLbls>
          <c:showLegendKey val="0"/>
          <c:showVal val="1"/>
          <c:showCatName val="0"/>
          <c:showSerName val="0"/>
          <c:showPercent val="0"/>
          <c:showBubbleSize val="0"/>
        </c:dLbls>
        <c:gapWidth val="75"/>
        <c:overlap val="100"/>
        <c:axId val="79400283"/>
        <c:axId val="537703008"/>
      </c:barChart>
      <c:catAx>
        <c:axId val="79400283"/>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37703008"/>
        <c:crosses val="autoZero"/>
        <c:auto val="1"/>
        <c:lblAlgn val="ctr"/>
        <c:lblOffset val="100"/>
        <c:noMultiLvlLbl val="0"/>
      </c:catAx>
      <c:valAx>
        <c:axId val="537703008"/>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940028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50963840241905"/>
          <c:y val="0.062483167250202"/>
          <c:w val="0.602545042207383"/>
          <c:h val="0.810503635873956"/>
        </c:manualLayout>
      </c:layout>
      <c:barChart>
        <c:barDir val="bar"/>
        <c:grouping val="stacked"/>
        <c:varyColors val="0"/>
        <c:ser>
          <c:idx val="0"/>
          <c:order val="0"/>
          <c:tx>
            <c:strRef>
              <c:f>Sheet1!$B$1</c:f>
              <c:strCache>
                <c:ptCount val="1"/>
                <c:pt idx="0">
                  <c:v>系列 1</c:v>
                </c:pt>
              </c:strCache>
            </c:strRef>
          </c:tx>
          <c:spPr>
            <a:solidFill>
              <a:schemeClr val="accent1"/>
            </a:solidFill>
            <a:ln>
              <a:noFill/>
            </a:ln>
            <a:effectLst/>
          </c:spPr>
          <c:invertIfNegative val="0"/>
          <c:dLbls>
            <c:dLbl>
              <c:idx val="0"/>
              <c:layout>
                <c:manualLayout>
                  <c:x val="0.0359307102760156"/>
                  <c:y val="0.010234311877188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445065532545547"/>
                  <c:y val="0.00888214055550049"/>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544755810357156"/>
                  <c:y val="0.0033793297662630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737440561663388"/>
                  <c:y val="0.00375279209624438"/>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827426893629724"/>
                  <c:y val="0.00817594818501739"/>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943674207050137"/>
                  <c:y val="0.00718771215142701"/>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10494070599169"/>
                  <c:y val="-0.0028974604192571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322173819832365"/>
                  <c:y val="0.000854067024780824"/>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Sheet1!$A$2:$A$9</c:f>
              <c:strCache>
                <c:ptCount val="8"/>
                <c:pt idx="0">
                  <c:v>受同学影响</c:v>
                </c:pt>
                <c:pt idx="1">
                  <c:v>家人期望</c:v>
                </c:pt>
                <c:pt idx="2">
                  <c:v>其他</c:v>
                </c:pt>
                <c:pt idx="3">
                  <c:v>增加择业资本，提升就业竞争力</c:v>
                </c:pt>
                <c:pt idx="4">
                  <c:v>延缓面对择业的困难</c:v>
                </c:pt>
                <c:pt idx="5">
                  <c:v>提升综合能力</c:v>
                </c:pt>
                <c:pt idx="6">
                  <c:v>对专业感兴趣，愿深入学习</c:v>
                </c:pt>
                <c:pt idx="7">
                  <c:v>提升学历层次</c:v>
                </c:pt>
              </c:strCache>
            </c:strRef>
          </c:cat>
          <c:val>
            <c:numRef>
              <c:f>Sheet1!$B$2:$B$9</c:f>
              <c:numCache>
                <c:formatCode>0.00%</c:formatCode>
                <c:ptCount val="8"/>
                <c:pt idx="0">
                  <c:v>0</c:v>
                </c:pt>
                <c:pt idx="1">
                  <c:v>0.0172</c:v>
                </c:pt>
                <c:pt idx="2">
                  <c:v>0.0345</c:v>
                </c:pt>
                <c:pt idx="3">
                  <c:v>0.069</c:v>
                </c:pt>
                <c:pt idx="4">
                  <c:v>0.0862</c:v>
                </c:pt>
                <c:pt idx="5">
                  <c:v>0.1034</c:v>
                </c:pt>
                <c:pt idx="6">
                  <c:v>0.1207</c:v>
                </c:pt>
                <c:pt idx="7">
                  <c:v>0.569</c:v>
                </c:pt>
              </c:numCache>
            </c:numRef>
          </c:val>
        </c:ser>
        <c:dLbls>
          <c:showLegendKey val="0"/>
          <c:showVal val="1"/>
          <c:showCatName val="0"/>
          <c:showSerName val="0"/>
          <c:showPercent val="0"/>
          <c:showBubbleSize val="0"/>
        </c:dLbls>
        <c:gapWidth val="150"/>
        <c:overlap val="100"/>
        <c:axId val="27464614"/>
        <c:axId val="21477356"/>
      </c:barChart>
      <c:catAx>
        <c:axId val="27464614"/>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477356"/>
        <c:crosses val="autoZero"/>
        <c:auto val="1"/>
        <c:lblAlgn val="ctr"/>
        <c:lblOffset val="100"/>
        <c:noMultiLvlLbl val="0"/>
      </c:catAx>
      <c:valAx>
        <c:axId val="21477356"/>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746461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invertIfNegative val="0"/>
          <c:dPt>
            <c:idx val="1"/>
            <c:invertIfNegative val="0"/>
            <c:bubble3D val="0"/>
            <c:spPr>
              <a:solidFill>
                <a:srgbClr val="FF6600"/>
              </a:solidFill>
            </c:spPr>
          </c:dPt>
          <c:dPt>
            <c:idx val="2"/>
            <c:invertIfNegative val="0"/>
            <c:bubble3D val="0"/>
            <c:spPr>
              <a:solidFill>
                <a:schemeClr val="bg1">
                  <a:lumMod val="65000"/>
                </a:schemeClr>
              </a:solidFill>
            </c:spPr>
          </c:dPt>
          <c:dPt>
            <c:idx val="3"/>
            <c:invertIfNegative val="0"/>
            <c:bubble3D val="0"/>
            <c:spPr>
              <a:solidFill>
                <a:srgbClr val="FFC000"/>
              </a:solidFill>
            </c:spPr>
          </c:dPt>
          <c:dPt>
            <c:idx val="4"/>
            <c:invertIfNegative val="0"/>
            <c:bubble3D val="0"/>
            <c:spPr>
              <a:solidFill>
                <a:srgbClr val="00B050"/>
              </a:solidFill>
            </c:spPr>
          </c:dPt>
          <c:dLbls>
            <c:dLbl>
              <c:idx val="0"/>
              <c:layout>
                <c:manualLayout>
                  <c:x val="-0.00226950354609929"/>
                  <c:y val="0.032266960838389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0567375886524823"/>
                  <c:y val="0.010479867622724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283687943262411"/>
                  <c:y val="-0.0024820739106453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283687943262411"/>
                  <c:y val="0.0046883618312189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
                  <c:y val="0.0091009376723663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Sheet1!$A$2:$A$6</c:f>
              <c:strCache>
                <c:ptCount val="5"/>
                <c:pt idx="0">
                  <c:v>非常一致</c:v>
                </c:pt>
                <c:pt idx="1">
                  <c:v>比较一致</c:v>
                </c:pt>
                <c:pt idx="2">
                  <c:v>一致</c:v>
                </c:pt>
                <c:pt idx="3">
                  <c:v>不太一致</c:v>
                </c:pt>
                <c:pt idx="4">
                  <c:v>不一致</c:v>
                </c:pt>
              </c:strCache>
            </c:strRef>
          </c:cat>
          <c:val>
            <c:numRef>
              <c:f>Sheet1!$B$2:$B$6</c:f>
              <c:numCache>
                <c:formatCode>0.00%</c:formatCode>
                <c:ptCount val="5"/>
                <c:pt idx="0">
                  <c:v>0.3966</c:v>
                </c:pt>
                <c:pt idx="1">
                  <c:v>0.2758</c:v>
                </c:pt>
                <c:pt idx="2">
                  <c:v>0.1207</c:v>
                </c:pt>
                <c:pt idx="3">
                  <c:v>0.1207</c:v>
                </c:pt>
                <c:pt idx="4">
                  <c:v>0.0862</c:v>
                </c:pt>
              </c:numCache>
            </c:numRef>
          </c:val>
        </c:ser>
        <c:dLbls>
          <c:showLegendKey val="0"/>
          <c:showVal val="1"/>
          <c:showCatName val="0"/>
          <c:showSerName val="0"/>
          <c:showPercent val="0"/>
          <c:showBubbleSize val="0"/>
        </c:dLbls>
        <c:gapWidth val="150"/>
        <c:axId val="238680320"/>
        <c:axId val="238768128"/>
      </c:barChart>
      <c:catAx>
        <c:axId val="23868032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38768128"/>
        <c:crosses val="autoZero"/>
        <c:auto val="1"/>
        <c:lblAlgn val="ctr"/>
        <c:lblOffset val="100"/>
        <c:noMultiLvlLbl val="0"/>
      </c:catAx>
      <c:valAx>
        <c:axId val="238768128"/>
        <c:scaling>
          <c:orientation val="minMax"/>
        </c:scaling>
        <c:delete val="0"/>
        <c:axPos val="l"/>
        <c:majorGridlines/>
        <c:numFmt formatCode="0.0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38680320"/>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1075"/>
          <c:y val="0.0386666666666667"/>
          <c:w val="0.718175"/>
          <c:h val="0.882733333333333"/>
        </c:manualLayout>
      </c:layout>
      <c:barChart>
        <c:barDir val="bar"/>
        <c:grouping val="stacked"/>
        <c:varyColors val="0"/>
        <c:ser>
          <c:idx val="0"/>
          <c:order val="0"/>
          <c:tx>
            <c:strRef>
              <c:f>Sheet1!$B$1</c:f>
              <c:strCache>
                <c:ptCount val="1"/>
                <c:pt idx="0">
                  <c:v>百分比</c:v>
                </c:pt>
              </c:strCache>
            </c:strRef>
          </c:tx>
          <c:spPr>
            <a:solidFill>
              <a:schemeClr val="accent1"/>
            </a:solidFill>
            <a:ln>
              <a:noFill/>
            </a:ln>
            <a:effectLst/>
          </c:spPr>
          <c:invertIfNegative val="0"/>
          <c:dLbls>
            <c:dLbl>
              <c:idx val="0"/>
              <c:layout>
                <c:manualLayout>
                  <c:x val="0.0792092896917018"/>
                  <c:y val="0.011534217476174"/>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05873615187779"/>
                  <c:y val="0.00701923110015226"/>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108286656513939"/>
                  <c:y val="0.0122043307324347"/>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1280401829907"/>
                  <c:y val="0.00943337109689217"/>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144866235935164"/>
                  <c:y val="0.00936541921774055"/>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0.0893657476572049"/>
                      <c:h val="0.0995521873923527"/>
                    </c:manualLayout>
                  </c15:layout>
                </c:ext>
              </c:extLst>
            </c:dLbl>
            <c:dLbl>
              <c:idx val="5"/>
              <c:layout>
                <c:manualLayout>
                  <c:x val="0.229940699503812"/>
                  <c:y val="0.00681198910081746"/>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374268925104381"/>
                  <c:y val="0.0085149863760218"/>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Sheet1!$A$2:$A$8</c:f>
              <c:strCache>
                <c:ptCount val="7"/>
                <c:pt idx="0">
                  <c:v>家人期望</c:v>
                </c:pt>
                <c:pt idx="1">
                  <c:v>其他</c:v>
                </c:pt>
                <c:pt idx="2">
                  <c:v>未找到合适的工作</c:v>
                </c:pt>
                <c:pt idx="3">
                  <c:v>受他人邀请创业</c:v>
                </c:pt>
                <c:pt idx="4">
                  <c:v>有好的创业项目</c:v>
                </c:pt>
                <c:pt idx="5">
                  <c:v>预期可能有更高的收入</c:v>
                </c:pt>
                <c:pt idx="6">
                  <c:v>实现个人理想及价值</c:v>
                </c:pt>
              </c:strCache>
            </c:strRef>
          </c:cat>
          <c:val>
            <c:numRef>
              <c:f>Sheet1!$B$2:$B$8</c:f>
              <c:numCache>
                <c:formatCode>0.00%</c:formatCode>
                <c:ptCount val="7"/>
                <c:pt idx="0">
                  <c:v>0.0833</c:v>
                </c:pt>
                <c:pt idx="1">
                  <c:v>0.1111</c:v>
                </c:pt>
                <c:pt idx="2">
                  <c:v>0.1111</c:v>
                </c:pt>
                <c:pt idx="3">
                  <c:v>0.1389</c:v>
                </c:pt>
                <c:pt idx="4">
                  <c:v>0.1667</c:v>
                </c:pt>
                <c:pt idx="5">
                  <c:v>0.3056</c:v>
                </c:pt>
                <c:pt idx="6">
                  <c:v>0.5694</c:v>
                </c:pt>
              </c:numCache>
            </c:numRef>
          </c:val>
        </c:ser>
        <c:dLbls>
          <c:showLegendKey val="0"/>
          <c:showVal val="1"/>
          <c:showCatName val="0"/>
          <c:showSerName val="0"/>
          <c:showPercent val="0"/>
          <c:showBubbleSize val="0"/>
        </c:dLbls>
        <c:gapWidth val="150"/>
        <c:overlap val="100"/>
        <c:axId val="357314906"/>
        <c:axId val="282956748"/>
      </c:barChart>
      <c:catAx>
        <c:axId val="357314906"/>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2956748"/>
        <c:crosses val="autoZero"/>
        <c:auto val="1"/>
        <c:lblAlgn val="ctr"/>
        <c:lblOffset val="100"/>
        <c:noMultiLvlLbl val="0"/>
      </c:catAx>
      <c:valAx>
        <c:axId val="282956748"/>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5731490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900"/>
              <a:t>创业方式</a:t>
            </a:r>
            <a:endParaRPr sz="900"/>
          </a:p>
        </c:rich>
      </c:tx>
      <c:layout/>
      <c:overlay val="0"/>
      <c:spPr>
        <a:noFill/>
        <a:ln>
          <a:noFill/>
        </a:ln>
        <a:effectLst/>
      </c:spPr>
    </c:title>
    <c:autoTitleDeleted val="0"/>
    <c:plotArea>
      <c:layout/>
      <c:pieChart>
        <c:varyColors val="1"/>
        <c:ser>
          <c:idx val="0"/>
          <c:order val="0"/>
          <c:tx>
            <c:strRef>
              <c:f>Sheet1!$B$1</c:f>
              <c:strCache>
                <c:ptCount val="1"/>
                <c:pt idx="0">
                  <c:v>创业方式</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个人独立创业</c:v>
                </c:pt>
                <c:pt idx="1">
                  <c:v>带领团队创业</c:v>
                </c:pt>
                <c:pt idx="2">
                  <c:v>与人合伙创业</c:v>
                </c:pt>
                <c:pt idx="3">
                  <c:v>家族创业</c:v>
                </c:pt>
                <c:pt idx="4">
                  <c:v>其他</c:v>
                </c:pt>
              </c:strCache>
            </c:strRef>
          </c:cat>
          <c:val>
            <c:numRef>
              <c:f>Sheet1!$B$2:$B$6</c:f>
              <c:numCache>
                <c:formatCode>0.00%</c:formatCode>
                <c:ptCount val="5"/>
                <c:pt idx="0">
                  <c:v>0.4583</c:v>
                </c:pt>
                <c:pt idx="1">
                  <c:v>0.0139</c:v>
                </c:pt>
                <c:pt idx="2">
                  <c:v>0.2917</c:v>
                </c:pt>
                <c:pt idx="3">
                  <c:v>0.1389</c:v>
                </c:pt>
                <c:pt idx="4">
                  <c:v>0.0972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900"/>
              <a:t>创业类型</a:t>
            </a:r>
            <a:endParaRPr sz="900"/>
          </a:p>
        </c:rich>
      </c:tx>
      <c:layout/>
      <c:overlay val="0"/>
      <c:spPr>
        <a:noFill/>
        <a:ln>
          <a:noFill/>
        </a:ln>
        <a:effectLst/>
      </c:spPr>
    </c:title>
    <c:autoTitleDeleted val="0"/>
    <c:plotArea>
      <c:layout/>
      <c:pieChart>
        <c:varyColors val="1"/>
        <c:ser>
          <c:idx val="0"/>
          <c:order val="0"/>
          <c:tx>
            <c:strRef>
              <c:f>Sheet1!$B$1</c:f>
              <c:strCache>
                <c:ptCount val="1"/>
                <c:pt idx="0">
                  <c:v>创业类型</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layout>
                <c:manualLayout>
                  <c:x val="-0.111656989727557"/>
                  <c:y val="0.061918681902737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115453327378294"/>
                  <c:y val="0.05766675524847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在独立的场地创立公司（含个体工商户）</c:v>
                </c:pt>
                <c:pt idx="1">
                  <c:v>在孵化机构中创业，含暂未注册或正在注册中</c:v>
                </c:pt>
                <c:pt idx="2">
                  <c:v>电子商务创业，利用互联网平台从事经营活动</c:v>
                </c:pt>
                <c:pt idx="3">
                  <c:v>加盟创业，如餐饮加盟等</c:v>
                </c:pt>
                <c:pt idx="4">
                  <c:v>其他</c:v>
                </c:pt>
              </c:strCache>
            </c:strRef>
          </c:cat>
          <c:val>
            <c:numRef>
              <c:f>Sheet1!$B$2:$B$6</c:f>
              <c:numCache>
                <c:formatCode>0.00%</c:formatCode>
                <c:ptCount val="5"/>
                <c:pt idx="0">
                  <c:v>0.3611</c:v>
                </c:pt>
                <c:pt idx="1">
                  <c:v>0.0417</c:v>
                </c:pt>
                <c:pt idx="2">
                  <c:v>0.0972</c:v>
                </c:pt>
                <c:pt idx="3">
                  <c:v>0.1389</c:v>
                </c:pt>
                <c:pt idx="4">
                  <c:v>0.3611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百分比</c:v>
                </c:pt>
              </c:strCache>
            </c:strRef>
          </c:tx>
          <c:spPr>
            <a:solidFill>
              <a:schemeClr val="accent1"/>
            </a:solidFill>
            <a:ln>
              <a:noFill/>
            </a:ln>
            <a:effectLst/>
          </c:spPr>
          <c:invertIfNegative val="0"/>
          <c:dLbls>
            <c:dLbl>
              <c:idx val="0"/>
              <c:layout>
                <c:manualLayout>
                  <c:x val="0.00645225045137993"/>
                  <c:y val="-0.263480170406134"/>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182328475625485"/>
                  <c:y val="-0.175296932689577"/>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394202330652855"/>
                  <c:y val="-0.1337417648875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3125"/>
                  <c:y val="-0.068833333333333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125983363425331"/>
                  <c:y val="-0.0493384928524094"/>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
                  <c:y val="-0.0471456972451008"/>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Sheet1!$A$2:$A$7</c:f>
              <c:strCache>
                <c:ptCount val="6"/>
                <c:pt idx="0">
                  <c:v>个人积累</c:v>
                </c:pt>
                <c:pt idx="1">
                  <c:v>父母资助</c:v>
                </c:pt>
                <c:pt idx="2">
                  <c:v>其他</c:v>
                </c:pt>
                <c:pt idx="3">
                  <c:v>大学生创业贷款</c:v>
                </c:pt>
                <c:pt idx="4">
                  <c:v>创业扶持基金</c:v>
                </c:pt>
                <c:pt idx="5">
                  <c:v>风险投资</c:v>
                </c:pt>
              </c:strCache>
            </c:strRef>
          </c:cat>
          <c:val>
            <c:numRef>
              <c:f>Sheet1!$B$2:$B$7</c:f>
              <c:numCache>
                <c:formatCode>0.00%</c:formatCode>
                <c:ptCount val="6"/>
                <c:pt idx="0">
                  <c:v>0.4861</c:v>
                </c:pt>
                <c:pt idx="1">
                  <c:v>0.2361</c:v>
                </c:pt>
                <c:pt idx="2">
                  <c:v>0.1528</c:v>
                </c:pt>
                <c:pt idx="3">
                  <c:v>0.0694</c:v>
                </c:pt>
                <c:pt idx="4">
                  <c:v>0.0278</c:v>
                </c:pt>
                <c:pt idx="5">
                  <c:v>0.0278</c:v>
                </c:pt>
              </c:numCache>
            </c:numRef>
          </c:val>
        </c:ser>
        <c:dLbls>
          <c:showLegendKey val="0"/>
          <c:showVal val="1"/>
          <c:showCatName val="0"/>
          <c:showSerName val="0"/>
          <c:showPercent val="0"/>
          <c:showBubbleSize val="0"/>
        </c:dLbls>
        <c:gapWidth val="150"/>
        <c:overlap val="100"/>
        <c:axId val="905036802"/>
        <c:axId val="517779523"/>
      </c:barChart>
      <c:catAx>
        <c:axId val="90503680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7779523"/>
        <c:crosses val="autoZero"/>
        <c:auto val="1"/>
        <c:lblAlgn val="ctr"/>
        <c:lblOffset val="100"/>
        <c:noMultiLvlLbl val="0"/>
      </c:catAx>
      <c:valAx>
        <c:axId val="517779523"/>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0503680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075"/>
          <c:y val="0.0366666666666667"/>
          <c:w val="0.87205"/>
          <c:h val="0.807566666666667"/>
        </c:manualLayout>
      </c:layout>
      <c:barChart>
        <c:barDir val="col"/>
        <c:grouping val="stacked"/>
        <c:varyColors val="0"/>
        <c:ser>
          <c:idx val="0"/>
          <c:order val="0"/>
          <c:tx>
            <c:strRef>
              <c:f>Sheet1!$B$1</c:f>
              <c:strCache>
                <c:ptCount val="1"/>
                <c:pt idx="0">
                  <c:v>百分比</c:v>
                </c:pt>
              </c:strCache>
            </c:strRef>
          </c:tx>
          <c:spPr>
            <a:solidFill>
              <a:schemeClr val="accent1"/>
            </a:solidFill>
            <a:ln>
              <a:noFill/>
            </a:ln>
            <a:effectLst/>
          </c:spPr>
          <c:invertIfNegative val="0"/>
          <c:dPt>
            <c:idx val="1"/>
            <c:invertIfNegative val="0"/>
            <c:bubble3D val="0"/>
            <c:spPr>
              <a:solidFill>
                <a:schemeClr val="accent6">
                  <a:lumMod val="75000"/>
                </a:schemeClr>
              </a:solidFill>
              <a:ln>
                <a:noFill/>
              </a:ln>
              <a:effectLst/>
            </c:spPr>
          </c:dPt>
          <c:dPt>
            <c:idx val="2"/>
            <c:invertIfNegative val="0"/>
            <c:bubble3D val="0"/>
            <c:spPr>
              <a:solidFill>
                <a:srgbClr val="92D050"/>
              </a:solidFill>
              <a:ln>
                <a:noFill/>
              </a:ln>
              <a:effectLst/>
            </c:spPr>
          </c:dPt>
          <c:dPt>
            <c:idx val="3"/>
            <c:invertIfNegative val="0"/>
            <c:bubble3D val="0"/>
            <c:spPr>
              <a:solidFill>
                <a:srgbClr val="FFFF00"/>
              </a:solidFill>
              <a:ln>
                <a:noFill/>
              </a:ln>
              <a:effectLst/>
            </c:spPr>
          </c:dPt>
          <c:dPt>
            <c:idx val="4"/>
            <c:invertIfNegative val="0"/>
            <c:bubble3D val="0"/>
            <c:spPr>
              <a:solidFill>
                <a:schemeClr val="bg1">
                  <a:lumMod val="75000"/>
                </a:schemeClr>
              </a:solidFill>
              <a:ln>
                <a:noFill/>
              </a:ln>
              <a:effectLst/>
            </c:spPr>
          </c:dPt>
          <c:dLbls>
            <c:dLbl>
              <c:idx val="0"/>
              <c:layout>
                <c:manualLayout>
                  <c:x val="-0.00312161454697752"/>
                  <c:y val="-0.364542006648535"/>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162161454697751"/>
                  <c:y val="-0.39338546388637"/>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0.107915677788636"/>
                      <c:h val="0.0666364460562103"/>
                    </c:manualLayout>
                  </c15:layout>
                </c:ext>
              </c:extLst>
            </c:dLbl>
            <c:dLbl>
              <c:idx val="2"/>
              <c:layout>
                <c:manualLayout>
                  <c:x val="0.00460362278374983"/>
                  <c:y val="-0.227339981867634"/>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399830727348874"/>
                  <c:y val="-0.092520398912058"/>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108536227837498"/>
                  <c:y val="-0.0448549410698096"/>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Sheet1!$A$2:$A$6</c:f>
              <c:strCache>
                <c:ptCount val="5"/>
                <c:pt idx="0">
                  <c:v>非常支持</c:v>
                </c:pt>
                <c:pt idx="1">
                  <c:v>比较支持</c:v>
                </c:pt>
                <c:pt idx="2">
                  <c:v>中立，不反对</c:v>
                </c:pt>
                <c:pt idx="3">
                  <c:v>比较反对</c:v>
                </c:pt>
                <c:pt idx="4">
                  <c:v>非常反对</c:v>
                </c:pt>
              </c:strCache>
            </c:strRef>
          </c:cat>
          <c:val>
            <c:numRef>
              <c:f>Sheet1!$B$2:$B$6</c:f>
              <c:numCache>
                <c:formatCode>0.00%</c:formatCode>
                <c:ptCount val="5"/>
                <c:pt idx="0">
                  <c:v>0.3472</c:v>
                </c:pt>
                <c:pt idx="1">
                  <c:v>0.4028</c:v>
                </c:pt>
                <c:pt idx="2">
                  <c:v>0.2083</c:v>
                </c:pt>
                <c:pt idx="3">
                  <c:v>0.0417</c:v>
                </c:pt>
                <c:pt idx="4">
                  <c:v>0</c:v>
                </c:pt>
              </c:numCache>
            </c:numRef>
          </c:val>
        </c:ser>
        <c:dLbls>
          <c:showLegendKey val="0"/>
          <c:showVal val="1"/>
          <c:showCatName val="0"/>
          <c:showSerName val="0"/>
          <c:showPercent val="0"/>
          <c:showBubbleSize val="0"/>
        </c:dLbls>
        <c:gapWidth val="150"/>
        <c:overlap val="100"/>
        <c:axId val="379151515"/>
        <c:axId val="637819534"/>
      </c:barChart>
      <c:catAx>
        <c:axId val="37915151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7819534"/>
        <c:crosses val="autoZero"/>
        <c:auto val="1"/>
        <c:lblAlgn val="ctr"/>
        <c:lblOffset val="100"/>
        <c:noMultiLvlLbl val="0"/>
      </c:catAx>
      <c:valAx>
        <c:axId val="63781953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7915151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百分比</c:v>
                </c:pt>
              </c:strCache>
            </c:strRef>
          </c:tx>
          <c:spPr>
            <a:solidFill>
              <a:schemeClr val="accent1"/>
            </a:solidFill>
            <a:ln>
              <a:noFill/>
            </a:ln>
            <a:effectLst/>
          </c:spPr>
          <c:invertIfNegative val="0"/>
          <c:dLbls>
            <c:dLbl>
              <c:idx val="0"/>
              <c:layout>
                <c:manualLayout>
                  <c:x val="0.096875"/>
                  <c:y val="0.00416666666666667"/>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23459685598377"/>
                  <c:y val="0.0113982713367726"/>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129853891765854"/>
                  <c:y val="0.00444444444444446"/>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138026115618661"/>
                  <c:y val="0.00661580233505294"/>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23344531719035"/>
                  <c:y val="0.00633176456391235"/>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28815147429612"/>
                  <c:y val="0.0067222222222222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328599353448276"/>
                  <c:y val="0.00233176456391228"/>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Sheet1!$A$2:$A$8</c:f>
              <c:strCache>
                <c:ptCount val="7"/>
                <c:pt idx="0">
                  <c:v>上网浏览信息，寻找创业机会</c:v>
                </c:pt>
                <c:pt idx="1">
                  <c:v>研读创业书籍</c:v>
                </c:pt>
                <c:pt idx="2">
                  <c:v>学习创业课程</c:v>
                </c:pt>
                <c:pt idx="3">
                  <c:v>其他</c:v>
                </c:pt>
                <c:pt idx="4">
                  <c:v>多和朋友沟通，整合身边资源</c:v>
                </c:pt>
                <c:pt idx="5">
                  <c:v>向成功创业者学习</c:v>
                </c:pt>
                <c:pt idx="6">
                  <c:v>在社会实践中积累经验</c:v>
                </c:pt>
              </c:strCache>
            </c:strRef>
          </c:cat>
          <c:val>
            <c:numRef>
              <c:f>Sheet1!$B$2:$B$8</c:f>
              <c:numCache>
                <c:formatCode>0.00%</c:formatCode>
                <c:ptCount val="7"/>
                <c:pt idx="0">
                  <c:v>0.1111</c:v>
                </c:pt>
                <c:pt idx="1">
                  <c:v>0.1389</c:v>
                </c:pt>
                <c:pt idx="2">
                  <c:v>0.1528</c:v>
                </c:pt>
                <c:pt idx="3">
                  <c:v>0.1667</c:v>
                </c:pt>
                <c:pt idx="4">
                  <c:v>0.3611</c:v>
                </c:pt>
                <c:pt idx="5">
                  <c:v>0.4722</c:v>
                </c:pt>
                <c:pt idx="6">
                  <c:v>0.5694</c:v>
                </c:pt>
              </c:numCache>
            </c:numRef>
          </c:val>
        </c:ser>
        <c:dLbls>
          <c:showLegendKey val="0"/>
          <c:showVal val="1"/>
          <c:showCatName val="0"/>
          <c:showSerName val="0"/>
          <c:showPercent val="0"/>
          <c:showBubbleSize val="0"/>
        </c:dLbls>
        <c:gapWidth val="150"/>
        <c:overlap val="100"/>
        <c:axId val="107927122"/>
        <c:axId val="688631083"/>
      </c:barChart>
      <c:catAx>
        <c:axId val="107927122"/>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8631083"/>
        <c:crosses val="autoZero"/>
        <c:auto val="1"/>
        <c:lblAlgn val="ctr"/>
        <c:lblOffset val="100"/>
        <c:noMultiLvlLbl val="0"/>
      </c:catAx>
      <c:valAx>
        <c:axId val="688631083"/>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792712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2"/>
              </a:solidFill>
              <a:ln w="19050">
                <a:solidFill>
                  <a:schemeClr val="lt1"/>
                </a:solidFill>
              </a:ln>
              <a:effectLst/>
            </c:spPr>
          </c:dPt>
          <c:dPt>
            <c:idx val="1"/>
            <c:bubble3D val="0"/>
            <c:spPr>
              <a:solidFill>
                <a:schemeClr val="accent1">
                  <a:lumMod val="75000"/>
                </a:schemeClr>
              </a:solidFill>
              <a:ln w="19050">
                <a:solidFill>
                  <a:schemeClr val="lt1"/>
                </a:solidFill>
              </a:ln>
              <a:effectLst/>
            </c:spPr>
          </c:dPt>
          <c:dLbls>
            <c:dLbl>
              <c:idx val="0"/>
              <c:layout>
                <c:manualLayout>
                  <c:x val="-0.130359500935517"/>
                  <c:y val="0.0839645162628058"/>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32.13%</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57282381251571"/>
                  <c:y val="-0.131270288462097"/>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67.87%</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manualLayout>
                      <c:w val="0.144245790661344"/>
                      <c:h val="0.0538243626062323"/>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Sheet1!$A$2:$A$3</c:f>
              <c:strCache>
                <c:ptCount val="2"/>
                <c:pt idx="0">
                  <c:v>邵阳地区就业</c:v>
                </c:pt>
                <c:pt idx="1">
                  <c:v>其他地区就业</c:v>
                </c:pt>
              </c:strCache>
            </c:strRef>
          </c:cat>
          <c:val>
            <c:numRef>
              <c:f>Sheet1!$B$2:$B$3</c:f>
              <c:numCache>
                <c:formatCode>General</c:formatCode>
                <c:ptCount val="2"/>
                <c:pt idx="0">
                  <c:v>32.13</c:v>
                </c:pt>
                <c:pt idx="1">
                  <c:v>67.87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百分比</c:v>
                </c:pt>
              </c:strCache>
            </c:strRef>
          </c:tx>
          <c:spPr>
            <a:solidFill>
              <a:schemeClr val="accent1"/>
            </a:solidFill>
            <a:ln>
              <a:noFill/>
            </a:ln>
            <a:effectLst/>
          </c:spPr>
          <c:invertIfNegative val="0"/>
          <c:dLbls>
            <c:dLbl>
              <c:idx val="0"/>
              <c:layout>
                <c:manualLayout>
                  <c:x val="0.0764118214679574"/>
                  <c:y val="0.00821917808219178"/>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837029775762774"/>
                  <c:y val="-6.74553756745915e-5"/>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933245772576894"/>
                  <c:y val="-0.0020674553756745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965728770983944"/>
                  <c:y val="-0.00605251141552509"/>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914880988849409"/>
                  <c:y val="0.00840078870900791"/>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0.0694767798063963"/>
                      <c:h val="0.0899128268991283"/>
                    </c:manualLayout>
                  </c15:layout>
                </c:ext>
              </c:extLst>
            </c:dLbl>
            <c:dLbl>
              <c:idx val="5"/>
              <c:layout>
                <c:manualLayout>
                  <c:x val="0.104179941183679"/>
                  <c:y val="0.00199999999999999"/>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122683341502267"/>
                  <c:y val="0"/>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146764719397133"/>
                  <c:y val="0.00821917808219178"/>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157249417963485"/>
                  <c:y val="0.0123858447488584"/>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171547604460238"/>
                  <c:y val="0"/>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0.179757382673692"/>
                  <c:y val="-0.0042341220423412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0.30633500796471"/>
                  <c:y val="0.0042341220423412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Sheet1!$A$2:$A$13</c:f>
              <c:strCache>
                <c:ptCount val="12"/>
                <c:pt idx="0">
                  <c:v>创业项目的选取</c:v>
                </c:pt>
                <c:pt idx="1">
                  <c:v>办公场所、设备等软硬件环境的准备</c:v>
                </c:pt>
                <c:pt idx="2">
                  <c:v>政策环境不利</c:v>
                </c:pt>
                <c:pt idx="3">
                  <c:v>产品、服务的定位与开发</c:v>
                </c:pt>
                <c:pt idx="4">
                  <c:v>企业创办手续审批</c:v>
                </c:pt>
                <c:pt idx="5">
                  <c:v>产品、服务的变现</c:v>
                </c:pt>
                <c:pt idx="6">
                  <c:v>创业团队组建</c:v>
                </c:pt>
                <c:pt idx="7">
                  <c:v>创业相关知识、技能的缺乏</c:v>
                </c:pt>
                <c:pt idx="8">
                  <c:v>社会关系缺乏</c:v>
                </c:pt>
                <c:pt idx="9">
                  <c:v>其他</c:v>
                </c:pt>
                <c:pt idx="10">
                  <c:v>市场推广</c:v>
                </c:pt>
                <c:pt idx="11">
                  <c:v>资金筹备</c:v>
                </c:pt>
              </c:strCache>
            </c:strRef>
          </c:cat>
          <c:val>
            <c:numRef>
              <c:f>Sheet1!$B$2:$B$13</c:f>
              <c:numCache>
                <c:formatCode>0.00%</c:formatCode>
                <c:ptCount val="12"/>
                <c:pt idx="0">
                  <c:v>0.0417</c:v>
                </c:pt>
                <c:pt idx="1">
                  <c:v>0.0694</c:v>
                </c:pt>
                <c:pt idx="2">
                  <c:v>0.0833</c:v>
                </c:pt>
                <c:pt idx="3">
                  <c:v>0.0833</c:v>
                </c:pt>
                <c:pt idx="4">
                  <c:v>0.0972</c:v>
                </c:pt>
                <c:pt idx="5">
                  <c:v>0.1111</c:v>
                </c:pt>
                <c:pt idx="6">
                  <c:v>0.125</c:v>
                </c:pt>
                <c:pt idx="7">
                  <c:v>0.1667</c:v>
                </c:pt>
                <c:pt idx="8">
                  <c:v>0.1944</c:v>
                </c:pt>
                <c:pt idx="9">
                  <c:v>0.2222</c:v>
                </c:pt>
                <c:pt idx="10">
                  <c:v>0.2222</c:v>
                </c:pt>
                <c:pt idx="11">
                  <c:v>0.4444</c:v>
                </c:pt>
              </c:numCache>
            </c:numRef>
          </c:val>
        </c:ser>
        <c:dLbls>
          <c:showLegendKey val="0"/>
          <c:showVal val="1"/>
          <c:showCatName val="0"/>
          <c:showSerName val="0"/>
          <c:showPercent val="0"/>
          <c:showBubbleSize val="0"/>
        </c:dLbls>
        <c:gapWidth val="150"/>
        <c:overlap val="100"/>
        <c:axId val="427211606"/>
        <c:axId val="445160341"/>
      </c:barChart>
      <c:catAx>
        <c:axId val="427211606"/>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45160341"/>
        <c:crosses val="autoZero"/>
        <c:auto val="1"/>
        <c:lblAlgn val="ctr"/>
        <c:lblOffset val="100"/>
        <c:noMultiLvlLbl val="0"/>
      </c:catAx>
      <c:valAx>
        <c:axId val="445160341"/>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2721160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百分比</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071278871677269"/>
                  <c:y val="-0.30072752508054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有影响</c:v>
                </c:pt>
                <c:pt idx="1">
                  <c:v>无影响</c:v>
                </c:pt>
              </c:strCache>
            </c:strRef>
          </c:cat>
          <c:val>
            <c:numRef>
              <c:f>Sheet1!$B$2:$B$3</c:f>
              <c:numCache>
                <c:formatCode>0.00%</c:formatCode>
                <c:ptCount val="2"/>
                <c:pt idx="0">
                  <c:v>0.913</c:v>
                </c:pt>
                <c:pt idx="1">
                  <c:v>0.087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7884989139133"/>
          <c:y val="0.0494639376218324"/>
          <c:w val="0.659929118554933"/>
          <c:h val="0.828557504873294"/>
        </c:manualLayout>
      </c:layout>
      <c:barChart>
        <c:barDir val="bar"/>
        <c:grouping val="stacked"/>
        <c:varyColors val="0"/>
        <c:ser>
          <c:idx val="0"/>
          <c:order val="0"/>
          <c:tx>
            <c:strRef>
              <c:f>Sheet1!$B$1</c:f>
              <c:strCache>
                <c:ptCount val="1"/>
                <c:pt idx="0">
                  <c:v>百分比</c:v>
                </c:pt>
              </c:strCache>
            </c:strRef>
          </c:tx>
          <c:spPr>
            <a:solidFill>
              <a:schemeClr val="accent1"/>
            </a:solidFill>
            <a:ln>
              <a:noFill/>
            </a:ln>
            <a:effectLst/>
          </c:spPr>
          <c:invertIfNegative val="0"/>
          <c:dLbls>
            <c:dLbl>
              <c:idx val="0"/>
              <c:layout>
                <c:manualLayout>
                  <c:x val="0.108037041271293"/>
                  <c:y val="-0.0080409356725146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16268434891963"/>
                  <c:y val="0.00511695906432749"/>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137532868412027"/>
                  <c:y val="-0.00219298245614035"/>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153424031096376"/>
                  <c:y val="0.006091617933723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167371670286956"/>
                  <c:y val="0.00633528265107218"/>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254487252772379"/>
                  <c:y val="0.00219298245614035"/>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255287527152166"/>
                  <c:y val="-0.00706627680311891"/>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263861895507031"/>
                  <c:y val="-0.00414230019493177"/>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268697210472162"/>
                  <c:y val="-0.00682261208576998"/>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327769520978621"/>
                  <c:y val="0.00828460038986355"/>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Sheet1!$A$2:$A$11</c:f>
              <c:strCache>
                <c:ptCount val="10"/>
                <c:pt idx="0">
                  <c:v>熟悉创业政策与环境</c:v>
                </c:pt>
                <c:pt idx="1">
                  <c:v>其他</c:v>
                </c:pt>
                <c:pt idx="2">
                  <c:v>获取资源的能力</c:v>
                </c:pt>
                <c:pt idx="3">
                  <c:v>承受与规避风险能力</c:v>
                </c:pt>
                <c:pt idx="4">
                  <c:v>自我调节能力</c:v>
                </c:pt>
                <c:pt idx="5">
                  <c:v>把握机会能力</c:v>
                </c:pt>
                <c:pt idx="6">
                  <c:v>管理领导能力</c:v>
                </c:pt>
                <c:pt idx="7">
                  <c:v>沟通协调与处理社会关系能力</c:v>
                </c:pt>
                <c:pt idx="8">
                  <c:v>持续学习能力</c:v>
                </c:pt>
                <c:pt idx="9">
                  <c:v>专业基础知识</c:v>
                </c:pt>
              </c:strCache>
            </c:strRef>
          </c:cat>
          <c:val>
            <c:numRef>
              <c:f>Sheet1!$B$2:$B$11</c:f>
              <c:numCache>
                <c:formatCode>0.00%</c:formatCode>
                <c:ptCount val="10"/>
                <c:pt idx="0">
                  <c:v>0.0972</c:v>
                </c:pt>
                <c:pt idx="1">
                  <c:v>0.1111</c:v>
                </c:pt>
                <c:pt idx="2">
                  <c:v>0.1389</c:v>
                </c:pt>
                <c:pt idx="3">
                  <c:v>0.1667</c:v>
                </c:pt>
                <c:pt idx="4">
                  <c:v>0.1806</c:v>
                </c:pt>
                <c:pt idx="5">
                  <c:v>0.3194</c:v>
                </c:pt>
                <c:pt idx="6">
                  <c:v>0.3194</c:v>
                </c:pt>
                <c:pt idx="7">
                  <c:v>0.3333</c:v>
                </c:pt>
                <c:pt idx="8">
                  <c:v>0.3333</c:v>
                </c:pt>
                <c:pt idx="9">
                  <c:v>0.4306</c:v>
                </c:pt>
              </c:numCache>
            </c:numRef>
          </c:val>
        </c:ser>
        <c:dLbls>
          <c:showLegendKey val="0"/>
          <c:showVal val="0"/>
          <c:showCatName val="0"/>
          <c:showSerName val="0"/>
          <c:showPercent val="0"/>
          <c:showBubbleSize val="0"/>
        </c:dLbls>
        <c:gapWidth val="150"/>
        <c:overlap val="100"/>
        <c:axId val="43740998"/>
        <c:axId val="678709498"/>
      </c:barChart>
      <c:catAx>
        <c:axId val="43740998"/>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78709498"/>
        <c:crosses val="autoZero"/>
        <c:auto val="1"/>
        <c:lblAlgn val="ctr"/>
        <c:lblOffset val="100"/>
        <c:noMultiLvlLbl val="0"/>
      </c:catAx>
      <c:valAx>
        <c:axId val="678709498"/>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74099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7884989139133"/>
          <c:y val="0.0494639376218324"/>
          <c:w val="0.659929118554933"/>
          <c:h val="0.828557504873294"/>
        </c:manualLayout>
      </c:layout>
      <c:barChart>
        <c:barDir val="bar"/>
        <c:grouping val="stacked"/>
        <c:varyColors val="0"/>
        <c:ser>
          <c:idx val="0"/>
          <c:order val="0"/>
          <c:tx>
            <c:strRef>
              <c:f>Sheet1!$B$1</c:f>
              <c:strCache>
                <c:ptCount val="1"/>
                <c:pt idx="0">
                  <c:v>百分比</c:v>
                </c:pt>
              </c:strCache>
            </c:strRef>
          </c:tx>
          <c:spPr>
            <a:solidFill>
              <a:schemeClr val="accent1"/>
            </a:solidFill>
            <a:ln>
              <a:noFill/>
            </a:ln>
            <a:effectLst/>
          </c:spPr>
          <c:invertIfNegative val="0"/>
          <c:dLbls>
            <c:dLbl>
              <c:idx val="0"/>
              <c:layout>
                <c:manualLayout>
                  <c:x val="0.0776266148393736"/>
                  <c:y val="0.0121832358674464"/>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970618497770664"/>
                  <c:y val="0.0173001949317739"/>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107236766891506"/>
                  <c:y val="0.0141325536062378"/>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130559048816737"/>
                  <c:y val="0.006091617933723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161541099805648"/>
                  <c:y val="0.00219298245614041"/>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162912998742426"/>
                  <c:y val="0.00219298245614035"/>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184749056819481"/>
                  <c:y val="0.00121832358674464"/>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199153995655654"/>
                  <c:y val="0.012426900584795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30676740596776"/>
                  <c:y val="0.00925925925925926"/>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0.0866582828398308"/>
                      <c:h val="0.0557992202729045"/>
                    </c:manualLayout>
                  </c15:layout>
                </c:ext>
              </c:extLst>
            </c:dLbl>
            <c:dLbl>
              <c:idx val="9"/>
              <c:layout>
                <c:manualLayout>
                  <c:x val="0.318280553332571"/>
                  <c:y val="-0.0121832358674464"/>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Sheet1!$A$2:$A$11</c:f>
              <c:strCache>
                <c:ptCount val="10"/>
                <c:pt idx="0">
                  <c:v>创业师资队伍建设</c:v>
                </c:pt>
                <c:pt idx="1">
                  <c:v>创新创业大赛</c:v>
                </c:pt>
                <c:pt idx="2">
                  <c:v>创业协会或俱乐部</c:v>
                </c:pt>
                <c:pt idx="3">
                  <c:v>创业项目孵化</c:v>
                </c:pt>
                <c:pt idx="4">
                  <c:v>在线创业课资源</c:v>
                </c:pt>
                <c:pt idx="5">
                  <c:v>创业实训与模拟</c:v>
                </c:pt>
                <c:pt idx="6">
                  <c:v>创业讲座或论坛</c:v>
                </c:pt>
                <c:pt idx="7">
                  <c:v>其他</c:v>
                </c:pt>
                <c:pt idx="8">
                  <c:v>提供资金与平台</c:v>
                </c:pt>
                <c:pt idx="9">
                  <c:v>创业相关课程</c:v>
                </c:pt>
              </c:strCache>
            </c:strRef>
          </c:cat>
          <c:val>
            <c:numRef>
              <c:f>Sheet1!$B$2:$B$11</c:f>
              <c:numCache>
                <c:formatCode>0.00%</c:formatCode>
                <c:ptCount val="10"/>
                <c:pt idx="0">
                  <c:v>0.0417</c:v>
                </c:pt>
                <c:pt idx="1">
                  <c:v>0.0694</c:v>
                </c:pt>
                <c:pt idx="2">
                  <c:v>0.0972</c:v>
                </c:pt>
                <c:pt idx="3">
                  <c:v>0.125</c:v>
                </c:pt>
                <c:pt idx="4">
                  <c:v>0.1667</c:v>
                </c:pt>
                <c:pt idx="5">
                  <c:v>0.1667</c:v>
                </c:pt>
                <c:pt idx="6">
                  <c:v>0.2083</c:v>
                </c:pt>
                <c:pt idx="7">
                  <c:v>0.2222</c:v>
                </c:pt>
                <c:pt idx="8">
                  <c:v>0.3889</c:v>
                </c:pt>
                <c:pt idx="9">
                  <c:v>0.4028</c:v>
                </c:pt>
              </c:numCache>
            </c:numRef>
          </c:val>
        </c:ser>
        <c:dLbls>
          <c:showLegendKey val="0"/>
          <c:showVal val="0"/>
          <c:showCatName val="0"/>
          <c:showSerName val="0"/>
          <c:showPercent val="0"/>
          <c:showBubbleSize val="0"/>
        </c:dLbls>
        <c:gapWidth val="150"/>
        <c:overlap val="100"/>
        <c:axId val="43740998"/>
        <c:axId val="678709498"/>
      </c:barChart>
      <c:catAx>
        <c:axId val="43740998"/>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78709498"/>
        <c:crosses val="autoZero"/>
        <c:auto val="1"/>
        <c:lblAlgn val="ctr"/>
        <c:lblOffset val="100"/>
        <c:noMultiLvlLbl val="0"/>
      </c:catAx>
      <c:valAx>
        <c:axId val="678709498"/>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74099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9574468085106"/>
          <c:y val="0.0609487038058467"/>
          <c:w val="0.843829787234043"/>
          <c:h val="0.79453943739658"/>
        </c:manualLayout>
      </c:layout>
      <c:barChart>
        <c:barDir val="col"/>
        <c:grouping val="clustered"/>
        <c:varyColors val="0"/>
        <c:ser>
          <c:idx val="0"/>
          <c:order val="0"/>
          <c:tx>
            <c:strRef>
              <c:f>Sheet1!$B$1</c:f>
              <c:strCache>
                <c:ptCount val="1"/>
                <c:pt idx="0">
                  <c:v>系列 1</c:v>
                </c:pt>
              </c:strCache>
            </c:strRef>
          </c:tx>
          <c:invertIfNegative val="0"/>
          <c:dPt>
            <c:idx val="1"/>
            <c:invertIfNegative val="0"/>
            <c:bubble3D val="0"/>
            <c:spPr>
              <a:solidFill>
                <a:srgbClr val="FF6600"/>
              </a:solidFill>
            </c:spPr>
          </c:dPt>
          <c:dPt>
            <c:idx val="2"/>
            <c:invertIfNegative val="0"/>
            <c:bubble3D val="0"/>
            <c:spPr>
              <a:solidFill>
                <a:schemeClr val="bg1">
                  <a:lumMod val="65000"/>
                </a:schemeClr>
              </a:solidFill>
            </c:spPr>
          </c:dPt>
          <c:dPt>
            <c:idx val="3"/>
            <c:invertIfNegative val="0"/>
            <c:bubble3D val="0"/>
            <c:spPr>
              <a:solidFill>
                <a:srgbClr val="FFC000"/>
              </a:solidFill>
            </c:spPr>
          </c:dPt>
          <c:dPt>
            <c:idx val="4"/>
            <c:invertIfNegative val="0"/>
            <c:bubble3D val="0"/>
            <c:spPr>
              <a:solidFill>
                <a:srgbClr val="00B050"/>
              </a:solidFill>
            </c:spPr>
          </c:dPt>
          <c:dLbls>
            <c:dLbl>
              <c:idx val="0"/>
              <c:layout>
                <c:manualLayout>
                  <c:x val="-0.00226950354609929"/>
                  <c:y val="0.032266960838389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0567375886524823"/>
                  <c:y val="0.017374517374517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468085106382979"/>
                  <c:y val="0.00082735797021511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24113475177305"/>
                  <c:y val="-0.0055157198014341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539007092198582"/>
                  <c:y val="0.012686155543298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Sheet1!$A$2:$A$6</c:f>
              <c:strCache>
                <c:ptCount val="5"/>
                <c:pt idx="0">
                  <c:v>非常相关</c:v>
                </c:pt>
                <c:pt idx="1">
                  <c:v>比较相关</c:v>
                </c:pt>
                <c:pt idx="2">
                  <c:v>相关</c:v>
                </c:pt>
                <c:pt idx="3">
                  <c:v>不太相关</c:v>
                </c:pt>
                <c:pt idx="4">
                  <c:v>不相关</c:v>
                </c:pt>
              </c:strCache>
            </c:strRef>
          </c:cat>
          <c:val>
            <c:numRef>
              <c:f>Sheet1!$B$2:$B$6</c:f>
              <c:numCache>
                <c:formatCode>0.00%</c:formatCode>
                <c:ptCount val="5"/>
                <c:pt idx="0">
                  <c:v>0.0216</c:v>
                </c:pt>
                <c:pt idx="1">
                  <c:v>0.1164</c:v>
                </c:pt>
                <c:pt idx="2">
                  <c:v>0.1379</c:v>
                </c:pt>
                <c:pt idx="3">
                  <c:v>0.4871</c:v>
                </c:pt>
                <c:pt idx="4">
                  <c:v>0.237</c:v>
                </c:pt>
              </c:numCache>
            </c:numRef>
          </c:val>
        </c:ser>
        <c:dLbls>
          <c:showLegendKey val="0"/>
          <c:showVal val="1"/>
          <c:showCatName val="0"/>
          <c:showSerName val="0"/>
          <c:showPercent val="0"/>
          <c:showBubbleSize val="0"/>
        </c:dLbls>
        <c:gapWidth val="150"/>
        <c:axId val="238680320"/>
        <c:axId val="238768128"/>
      </c:barChart>
      <c:catAx>
        <c:axId val="23868032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38768128"/>
        <c:crosses val="autoZero"/>
        <c:auto val="1"/>
        <c:lblAlgn val="ctr"/>
        <c:lblOffset val="100"/>
        <c:noMultiLvlLbl val="0"/>
      </c:catAx>
      <c:valAx>
        <c:axId val="238768128"/>
        <c:scaling>
          <c:orientation val="minMax"/>
        </c:scaling>
        <c:delete val="0"/>
        <c:axPos val="l"/>
        <c:majorGridlines/>
        <c:numFmt formatCode="0.0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38680320"/>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invertIfNegative val="0"/>
          <c:dPt>
            <c:idx val="1"/>
            <c:invertIfNegative val="0"/>
            <c:bubble3D val="0"/>
            <c:spPr>
              <a:solidFill>
                <a:srgbClr val="FF6600"/>
              </a:solidFill>
            </c:spPr>
          </c:dPt>
          <c:dPt>
            <c:idx val="2"/>
            <c:invertIfNegative val="0"/>
            <c:bubble3D val="0"/>
            <c:spPr>
              <a:solidFill>
                <a:schemeClr val="bg1">
                  <a:lumMod val="65000"/>
                </a:schemeClr>
              </a:solidFill>
            </c:spPr>
          </c:dPt>
          <c:dPt>
            <c:idx val="3"/>
            <c:invertIfNegative val="0"/>
            <c:bubble3D val="0"/>
            <c:spPr>
              <a:solidFill>
                <a:srgbClr val="FFC000"/>
              </a:solidFill>
            </c:spPr>
          </c:dPt>
          <c:dPt>
            <c:idx val="4"/>
            <c:invertIfNegative val="0"/>
            <c:bubble3D val="0"/>
            <c:spPr>
              <a:solidFill>
                <a:srgbClr val="00B050"/>
              </a:solidFill>
            </c:spPr>
          </c:dPt>
          <c:dLbls>
            <c:dLbl>
              <c:idx val="0"/>
              <c:layout>
                <c:manualLayout>
                  <c:x val="-0.00226950354609929"/>
                  <c:y val="0.032266960838389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226950354609929"/>
                  <c:y val="-0.013789299503585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468085106382979"/>
                  <c:y val="-0.036955322669608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468085106382979"/>
                  <c:y val="-0.036679536679536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
                  <c:y val="0.0091009376723663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Sheet1!$A$2:$A$6</c:f>
              <c:strCache>
                <c:ptCount val="5"/>
                <c:pt idx="0">
                  <c:v>非常一致</c:v>
                </c:pt>
                <c:pt idx="1">
                  <c:v>比较一致</c:v>
                </c:pt>
                <c:pt idx="2">
                  <c:v>一致</c:v>
                </c:pt>
                <c:pt idx="3">
                  <c:v>不太一致</c:v>
                </c:pt>
                <c:pt idx="4">
                  <c:v>不一致</c:v>
                </c:pt>
              </c:strCache>
            </c:strRef>
          </c:cat>
          <c:val>
            <c:numRef>
              <c:f>Sheet1!$B$2:$B$6</c:f>
              <c:numCache>
                <c:formatCode>0.00%</c:formatCode>
                <c:ptCount val="5"/>
                <c:pt idx="0">
                  <c:v>0.0388</c:v>
                </c:pt>
                <c:pt idx="1">
                  <c:v>0.1724</c:v>
                </c:pt>
                <c:pt idx="2">
                  <c:v>0.1207</c:v>
                </c:pt>
                <c:pt idx="3">
                  <c:v>0.4828</c:v>
                </c:pt>
                <c:pt idx="4">
                  <c:v>0.1853</c:v>
                </c:pt>
              </c:numCache>
            </c:numRef>
          </c:val>
        </c:ser>
        <c:dLbls>
          <c:showLegendKey val="0"/>
          <c:showVal val="1"/>
          <c:showCatName val="0"/>
          <c:showSerName val="0"/>
          <c:showPercent val="0"/>
          <c:showBubbleSize val="0"/>
        </c:dLbls>
        <c:gapWidth val="150"/>
        <c:axId val="238680320"/>
        <c:axId val="238768128"/>
      </c:barChart>
      <c:catAx>
        <c:axId val="23868032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38768128"/>
        <c:crosses val="autoZero"/>
        <c:auto val="1"/>
        <c:lblAlgn val="ctr"/>
        <c:lblOffset val="100"/>
        <c:noMultiLvlLbl val="0"/>
      </c:catAx>
      <c:valAx>
        <c:axId val="238768128"/>
        <c:scaling>
          <c:orientation val="minMax"/>
        </c:scaling>
        <c:delete val="0"/>
        <c:axPos val="l"/>
        <c:majorGridlines/>
        <c:numFmt formatCode="0.0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38680320"/>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百分比</c:v>
                </c:pt>
              </c:strCache>
            </c:strRef>
          </c:tx>
          <c:spPr>
            <a:solidFill>
              <a:schemeClr val="accent1"/>
            </a:solidFill>
            <a:ln>
              <a:noFill/>
            </a:ln>
            <a:effectLst/>
          </c:spPr>
          <c:invertIfNegative val="0"/>
          <c:dLbls>
            <c:dLbl>
              <c:idx val="0"/>
              <c:layout>
                <c:manualLayout>
                  <c:x val="0.00133564845732603"/>
                  <c:y val="-0.237569060773481"/>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333912114331508"/>
                  <c:y val="-0.32308431419649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868171497261921"/>
                  <c:y val="-0.223156377612298"/>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387338052624549"/>
                  <c:y val="-0.0977660341100164"/>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333912114331508"/>
                  <c:y val="-0.0828729281767951"/>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041405102177107"/>
                  <c:y val="-0.056930098486668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0747963136102578"/>
                  <c:y val="-0.0509248138361758"/>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0667824228663016"/>
                  <c:y val="-0.0401153014652895"/>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100173634299452"/>
                  <c:y val="-0.034110016814797"/>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00894884466408441"/>
                  <c:y val="-0.052125870766274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Sheet1!$A$2:$A$11</c:f>
              <c:strCache>
                <c:ptCount val="10"/>
                <c:pt idx="0">
                  <c:v>3000元以下</c:v>
                </c:pt>
                <c:pt idx="1">
                  <c:v>3001-4000元</c:v>
                </c:pt>
                <c:pt idx="2">
                  <c:v>4001-5000元</c:v>
                </c:pt>
                <c:pt idx="3">
                  <c:v>5001-6000元</c:v>
                </c:pt>
                <c:pt idx="4">
                  <c:v>6001-7000元</c:v>
                </c:pt>
                <c:pt idx="5">
                  <c:v>7001-8000元</c:v>
                </c:pt>
                <c:pt idx="6">
                  <c:v>8001-9000元</c:v>
                </c:pt>
                <c:pt idx="7">
                  <c:v>9001-10000元</c:v>
                </c:pt>
                <c:pt idx="8">
                  <c:v>10001-15000元</c:v>
                </c:pt>
                <c:pt idx="9">
                  <c:v>15000元以上</c:v>
                </c:pt>
              </c:strCache>
            </c:strRef>
          </c:cat>
          <c:val>
            <c:numRef>
              <c:f>Sheet1!$B$2:$B$11</c:f>
              <c:numCache>
                <c:formatCode>0.00%</c:formatCode>
                <c:ptCount val="10"/>
                <c:pt idx="0">
                  <c:v>0.2673</c:v>
                </c:pt>
                <c:pt idx="1">
                  <c:v>0.3405</c:v>
                </c:pt>
                <c:pt idx="2">
                  <c:v>0.2198</c:v>
                </c:pt>
                <c:pt idx="3">
                  <c:v>0.0776</c:v>
                </c:pt>
                <c:pt idx="4">
                  <c:v>0.0517</c:v>
                </c:pt>
                <c:pt idx="5">
                  <c:v>0.0216</c:v>
                </c:pt>
                <c:pt idx="6">
                  <c:v>0</c:v>
                </c:pt>
                <c:pt idx="7">
                  <c:v>0.0043</c:v>
                </c:pt>
                <c:pt idx="8">
                  <c:v>0.0043</c:v>
                </c:pt>
                <c:pt idx="9">
                  <c:v>0.0129</c:v>
                </c:pt>
              </c:numCache>
            </c:numRef>
          </c:val>
        </c:ser>
        <c:dLbls>
          <c:showLegendKey val="0"/>
          <c:showVal val="0"/>
          <c:showCatName val="0"/>
          <c:showSerName val="0"/>
          <c:showPercent val="0"/>
          <c:showBubbleSize val="0"/>
        </c:dLbls>
        <c:gapWidth val="150"/>
        <c:overlap val="100"/>
        <c:axId val="322658713"/>
        <c:axId val="374269042"/>
      </c:barChart>
      <c:catAx>
        <c:axId val="32265871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74269042"/>
        <c:crosses val="autoZero"/>
        <c:auto val="1"/>
        <c:lblAlgn val="ctr"/>
        <c:lblOffset val="100"/>
        <c:noMultiLvlLbl val="0"/>
      </c:catAx>
      <c:valAx>
        <c:axId val="37426904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265871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百分比</c:v>
                </c:pt>
              </c:strCache>
            </c:strRef>
          </c:tx>
          <c:spPr>
            <a:solidFill>
              <a:schemeClr val="accent1"/>
            </a:solidFill>
            <a:ln>
              <a:noFill/>
            </a:ln>
            <a:effectLst/>
          </c:spPr>
          <c:invertIfNegative val="0"/>
          <c:dLbls>
            <c:dLbl>
              <c:idx val="0"/>
              <c:layout>
                <c:manualLayout>
                  <c:x val="0.0749556285202586"/>
                  <c:y val="0.0019544834399540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752157721577483"/>
                  <c:y val="0.000125936102580676"/>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828195607976667"/>
                  <c:y val="0.00129519646082835"/>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977184780824247"/>
                  <c:y val="-0.00341107336524524"/>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990170232757494"/>
                  <c:y val="-0.0020214616161092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970066705274051"/>
                  <c:y val="0.00179215295207135"/>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103813681817491"/>
                  <c:y val="0.00416666666666667"/>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0.0851199591628382"/>
                      <c:h val="0.0449329238726362"/>
                    </c:manualLayout>
                  </c15:layout>
                </c:ext>
              </c:extLst>
            </c:dLbl>
            <c:dLbl>
              <c:idx val="7"/>
              <c:layout>
                <c:manualLayout>
                  <c:x val="0.104442390946251"/>
                  <c:y val="0.000679698880834616"/>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143302809435226"/>
                  <c:y val="0.00696900705693524"/>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29542550472783"/>
                  <c:y val="0.00955974842767296"/>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0.329519077434194"/>
                  <c:y val="0"/>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Sheet1!$A$2:$A$12</c:f>
              <c:strCache>
                <c:ptCount val="11"/>
                <c:pt idx="0">
                  <c:v>沟通能力、面试技巧不足</c:v>
                </c:pt>
                <c:pt idx="1">
                  <c:v>专业知识与就业市场需求脱节</c:v>
                </c:pt>
                <c:pt idx="2">
                  <c:v>没有满足自我要求的工作</c:v>
                </c:pt>
                <c:pt idx="3">
                  <c:v>求职信心不足</c:v>
                </c:pt>
                <c:pt idx="4">
                  <c:v>专业不对口，就业面窄</c:v>
                </c:pt>
                <c:pt idx="5">
                  <c:v>对未来的职业规划思考不足</c:v>
                </c:pt>
                <c:pt idx="6">
                  <c:v>没有足够的岗位信息可选择</c:v>
                </c:pt>
                <c:pt idx="7">
                  <c:v>招聘信息获取渠道较少</c:v>
                </c:pt>
                <c:pt idx="8">
                  <c:v>其他</c:v>
                </c:pt>
                <c:pt idx="9">
                  <c:v>有工作意向，还在观望</c:v>
                </c:pt>
                <c:pt idx="10">
                  <c:v>缺乏相关实习、实践经验</c:v>
                </c:pt>
              </c:strCache>
            </c:strRef>
          </c:cat>
          <c:val>
            <c:numRef>
              <c:f>Sheet1!$B$2:$B$12</c:f>
              <c:numCache>
                <c:formatCode>0.00%</c:formatCode>
                <c:ptCount val="11"/>
                <c:pt idx="0">
                  <c:v>0.0287</c:v>
                </c:pt>
                <c:pt idx="1">
                  <c:v>0.0335</c:v>
                </c:pt>
                <c:pt idx="2">
                  <c:v>0.0383</c:v>
                </c:pt>
                <c:pt idx="3">
                  <c:v>0.0479</c:v>
                </c:pt>
                <c:pt idx="4">
                  <c:v>0.0574</c:v>
                </c:pt>
                <c:pt idx="5">
                  <c:v>0.0574</c:v>
                </c:pt>
                <c:pt idx="6">
                  <c:v>0.0574</c:v>
                </c:pt>
                <c:pt idx="7">
                  <c:v>0.0622</c:v>
                </c:pt>
                <c:pt idx="8">
                  <c:v>0.0957</c:v>
                </c:pt>
                <c:pt idx="9">
                  <c:v>0.2392</c:v>
                </c:pt>
                <c:pt idx="10">
                  <c:v>0.2823</c:v>
                </c:pt>
              </c:numCache>
            </c:numRef>
          </c:val>
        </c:ser>
        <c:dLbls>
          <c:showLegendKey val="0"/>
          <c:showVal val="1"/>
          <c:showCatName val="0"/>
          <c:showSerName val="0"/>
          <c:showPercent val="0"/>
          <c:showBubbleSize val="0"/>
        </c:dLbls>
        <c:gapWidth val="150"/>
        <c:overlap val="100"/>
        <c:axId val="219028496"/>
        <c:axId val="520889048"/>
      </c:barChart>
      <c:catAx>
        <c:axId val="219028496"/>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0889048"/>
        <c:crosses val="autoZero"/>
        <c:auto val="1"/>
        <c:lblAlgn val="ctr"/>
        <c:lblOffset val="100"/>
        <c:noMultiLvlLbl val="0"/>
      </c:catAx>
      <c:valAx>
        <c:axId val="520889048"/>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90284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百分比</c:v>
                </c:pt>
              </c:strCache>
            </c:strRef>
          </c:tx>
          <c:spPr>
            <a:solidFill>
              <a:schemeClr val="accent1"/>
            </a:solidFill>
            <a:ln>
              <a:noFill/>
            </a:ln>
            <a:effectLst/>
          </c:spPr>
          <c:invertIfNegative val="0"/>
          <c:dLbls>
            <c:delete val="1"/>
          </c:dLbls>
          <c:cat>
            <c:strRef>
              <c:f>Sheet1!$A$2:$A$16</c:f>
              <c:strCache>
                <c:ptCount val="15"/>
                <c:pt idx="0">
                  <c:v>行业知名度</c:v>
                </c:pt>
                <c:pt idx="1">
                  <c:v>岗位发展前景</c:v>
                </c:pt>
                <c:pt idx="2">
                  <c:v>工作稳定性</c:v>
                </c:pt>
                <c:pt idx="3">
                  <c:v>工作轻松度</c:v>
                </c:pt>
                <c:pt idx="4">
                  <c:v>工作自主性</c:v>
                </c:pt>
                <c:pt idx="5">
                  <c:v>工作地点</c:v>
                </c:pt>
                <c:pt idx="6">
                  <c:v>工作环境</c:v>
                </c:pt>
                <c:pt idx="7">
                  <c:v>晋升空间</c:v>
                </c:pt>
                <c:pt idx="8">
                  <c:v>培训机会</c:v>
                </c:pt>
                <c:pt idx="9">
                  <c:v>企业文化</c:v>
                </c:pt>
                <c:pt idx="10">
                  <c:v>父母期望</c:v>
                </c:pt>
                <c:pt idx="11">
                  <c:v>工作氛围（同事关系）</c:v>
                </c:pt>
                <c:pt idx="12">
                  <c:v>薪酬水平</c:v>
                </c:pt>
                <c:pt idx="13">
                  <c:v>社会保障</c:v>
                </c:pt>
                <c:pt idx="14">
                  <c:v>其他</c:v>
                </c:pt>
              </c:strCache>
            </c:strRef>
          </c:cat>
          <c:val>
            <c:numRef>
              <c:f>Sheet1!$B$2:$B$16</c:f>
              <c:numCache>
                <c:formatCode>0.00%</c:formatCode>
                <c:ptCount val="15"/>
                <c:pt idx="0">
                  <c:v>0.0574</c:v>
                </c:pt>
                <c:pt idx="1">
                  <c:v>0.4019</c:v>
                </c:pt>
                <c:pt idx="2">
                  <c:v>0.5263</c:v>
                </c:pt>
                <c:pt idx="3">
                  <c:v>0.1675</c:v>
                </c:pt>
                <c:pt idx="4">
                  <c:v>0.0718</c:v>
                </c:pt>
                <c:pt idx="5">
                  <c:v>0.1914</c:v>
                </c:pt>
                <c:pt idx="6">
                  <c:v>0.1962</c:v>
                </c:pt>
                <c:pt idx="7">
                  <c:v>0.201</c:v>
                </c:pt>
                <c:pt idx="8">
                  <c:v>0.0144</c:v>
                </c:pt>
                <c:pt idx="9">
                  <c:v>0.0383</c:v>
                </c:pt>
                <c:pt idx="10">
                  <c:v>0.0383</c:v>
                </c:pt>
                <c:pt idx="11">
                  <c:v>0.0957</c:v>
                </c:pt>
                <c:pt idx="12">
                  <c:v>0.4833</c:v>
                </c:pt>
                <c:pt idx="13">
                  <c:v>0.1005</c:v>
                </c:pt>
                <c:pt idx="14">
                  <c:v>0.0287</c:v>
                </c:pt>
              </c:numCache>
            </c:numRef>
          </c:val>
        </c:ser>
        <c:dLbls>
          <c:showLegendKey val="0"/>
          <c:showVal val="0"/>
          <c:showCatName val="0"/>
          <c:showSerName val="0"/>
          <c:showPercent val="0"/>
          <c:showBubbleSize val="0"/>
        </c:dLbls>
        <c:gapWidth val="95"/>
        <c:overlap val="100"/>
        <c:axId val="997104548"/>
        <c:axId val="23722227"/>
      </c:barChart>
      <c:catAx>
        <c:axId val="99710454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722227"/>
        <c:crosses val="autoZero"/>
        <c:auto val="1"/>
        <c:lblAlgn val="ctr"/>
        <c:lblOffset val="100"/>
        <c:noMultiLvlLbl val="0"/>
      </c:catAx>
      <c:valAx>
        <c:axId val="23722227"/>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710454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26971301198105"/>
          <c:y val="0.056208482370976"/>
          <c:w val="0.889022011702424"/>
          <c:h val="0.703985692386306"/>
        </c:manualLayout>
      </c:layout>
      <c:barChart>
        <c:barDir val="col"/>
        <c:grouping val="stacked"/>
        <c:varyColors val="0"/>
        <c:ser>
          <c:idx val="0"/>
          <c:order val="0"/>
          <c:tx>
            <c:strRef>
              <c:f>Sheet1!$B$1</c:f>
              <c:strCache>
                <c:ptCount val="1"/>
                <c:pt idx="0">
                  <c:v>百分比</c:v>
                </c:pt>
              </c:strCache>
            </c:strRef>
          </c:tx>
          <c:spPr>
            <a:solidFill>
              <a:schemeClr val="accent1"/>
            </a:solidFill>
            <a:ln>
              <a:noFill/>
            </a:ln>
            <a:effectLst/>
          </c:spPr>
          <c:invertIfNegative val="0"/>
          <c:dPt>
            <c:idx val="0"/>
            <c:invertIfNegative val="0"/>
            <c:bubble3D val="0"/>
            <c:spPr>
              <a:gradFill>
                <a:gsLst>
                  <a:gs pos="0">
                    <a:srgbClr val="FECF40"/>
                  </a:gs>
                  <a:gs pos="100000">
                    <a:srgbClr val="846C21"/>
                  </a:gs>
                </a:gsLst>
                <a:lin scaled="0"/>
              </a:gradFill>
              <a:ln>
                <a:noFill/>
              </a:ln>
              <a:effectLst/>
            </c:spPr>
          </c:dPt>
          <c:dPt>
            <c:idx val="1"/>
            <c:invertIfNegative val="0"/>
            <c:bubble3D val="0"/>
            <c:spPr>
              <a:gradFill>
                <a:gsLst>
                  <a:gs pos="0">
                    <a:srgbClr val="FBFB11"/>
                  </a:gs>
                  <a:gs pos="100000">
                    <a:srgbClr val="838309"/>
                  </a:gs>
                </a:gsLst>
                <a:lin scaled="0"/>
              </a:gradFill>
              <a:ln>
                <a:noFill/>
              </a:ln>
              <a:effectLst/>
            </c:spPr>
          </c:dPt>
          <c:dPt>
            <c:idx val="2"/>
            <c:invertIfNegative val="0"/>
            <c:bubble3D val="0"/>
            <c:spPr>
              <a:gradFill>
                <a:gsLst>
                  <a:gs pos="0">
                    <a:srgbClr val="9EE256"/>
                  </a:gs>
                  <a:gs pos="100000">
                    <a:srgbClr val="52762D"/>
                  </a:gs>
                </a:gsLst>
                <a:lin scaled="0"/>
              </a:gradFill>
              <a:ln>
                <a:noFill/>
              </a:ln>
              <a:effectLst/>
            </c:spPr>
          </c:dPt>
          <c:dPt>
            <c:idx val="3"/>
            <c:invertIfNegative val="0"/>
            <c:bubble3D val="0"/>
            <c:spPr>
              <a:gradFill>
                <a:gsLst>
                  <a:gs pos="0">
                    <a:srgbClr val="007BD3"/>
                  </a:gs>
                  <a:gs pos="100000">
                    <a:srgbClr val="034373"/>
                  </a:gs>
                </a:gsLst>
                <a:lin scaled="0"/>
              </a:gradFill>
              <a:ln>
                <a:noFill/>
              </a:ln>
              <a:effectLst/>
            </c:spPr>
          </c:dPt>
          <c:dPt>
            <c:idx val="4"/>
            <c:invertIfNegative val="0"/>
            <c:bubble3D val="0"/>
            <c:spPr>
              <a:gradFill>
                <a:gsLst>
                  <a:gs pos="0">
                    <a:srgbClr val="7B32B2"/>
                  </a:gs>
                  <a:gs pos="100000">
                    <a:srgbClr val="401A5D"/>
                  </a:gs>
                </a:gsLst>
                <a:lin scaled="0"/>
              </a:gradFill>
              <a:ln>
                <a:noFill/>
              </a:ln>
              <a:effectLst/>
            </c:spPr>
          </c:dPt>
          <c:dLbls>
            <c:dLbl>
              <c:idx val="0"/>
              <c:layout>
                <c:manualLayout>
                  <c:x val="-0.001625"/>
                  <c:y val="-0.162421222960313"/>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15.31</a:t>
                    </a:r>
                    <a:r>
                      <a:t>%</a:t>
                    </a:r>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0152619113959306"/>
                  <c:y val="-0.38297462953500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0.130069408959291"/>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30840763443856"/>
                  <c:y val="-0.0684899506046669"/>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3</a:t>
                    </a:r>
                    <a:r>
                      <a:rPr lang="en-US" altLang="zh-CN"/>
                      <a:t>.24</a:t>
                    </a:r>
                    <a:r>
                      <a:t>%</a:t>
                    </a:r>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151330454165508"/>
                  <c:y val="-0.0813141713507069"/>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10.05</a:t>
                    </a:r>
                    <a:r>
                      <a:t>%</a:t>
                    </a:r>
                  </a:p>
                </c:rich>
              </c:tx>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Sheet1!$A$2:$A$6</c:f>
              <c:strCache>
                <c:ptCount val="5"/>
                <c:pt idx="0">
                  <c:v>0家</c:v>
                </c:pt>
                <c:pt idx="1">
                  <c:v>1-3家</c:v>
                </c:pt>
                <c:pt idx="2">
                  <c:v>4-6家</c:v>
                </c:pt>
                <c:pt idx="3">
                  <c:v>7-9家</c:v>
                </c:pt>
                <c:pt idx="4">
                  <c:v>10家及以上</c:v>
                </c:pt>
              </c:strCache>
            </c:strRef>
          </c:cat>
          <c:val>
            <c:numRef>
              <c:f>Sheet1!$B$2:$B$6</c:f>
              <c:numCache>
                <c:formatCode>0.00%</c:formatCode>
                <c:ptCount val="5"/>
                <c:pt idx="0">
                  <c:v>0.1531</c:v>
                </c:pt>
                <c:pt idx="1">
                  <c:v>0.5694</c:v>
                </c:pt>
                <c:pt idx="2">
                  <c:v>0.1387</c:v>
                </c:pt>
                <c:pt idx="3">
                  <c:v>0.0383</c:v>
                </c:pt>
                <c:pt idx="4">
                  <c:v>0.1005</c:v>
                </c:pt>
              </c:numCache>
            </c:numRef>
          </c:val>
        </c:ser>
        <c:dLbls>
          <c:showLegendKey val="0"/>
          <c:showVal val="1"/>
          <c:showCatName val="0"/>
          <c:showSerName val="0"/>
          <c:showPercent val="0"/>
          <c:showBubbleSize val="0"/>
        </c:dLbls>
        <c:gapWidth val="150"/>
        <c:overlap val="100"/>
        <c:axId val="935093952"/>
        <c:axId val="958252617"/>
      </c:barChart>
      <c:catAx>
        <c:axId val="93509395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8252617"/>
        <c:crosses val="autoZero"/>
        <c:auto val="1"/>
        <c:lblAlgn val="ctr"/>
        <c:lblOffset val="100"/>
        <c:noMultiLvlLbl val="0"/>
      </c:catAx>
      <c:valAx>
        <c:axId val="958252617"/>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509395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tx>
            <c:strRef>
              <c:f>Sheet1!$B$1</c:f>
              <c:strCache>
                <c:ptCount val="1"/>
                <c:pt idx="0">
                  <c:v>百分比</c:v>
                </c:pt>
              </c:strCache>
            </c:strRef>
          </c:tx>
          <c:spPr>
            <a:scene3d>
              <a:camera prst="orthographicFront"/>
              <a:lightRig rig="threePt" dir="t"/>
            </a:scene3d>
            <a:sp3d contourW="25400"/>
          </c:spPr>
          <c:explosion val="0"/>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Pt>
            <c:idx val="2"/>
            <c:bubble3D val="0"/>
            <c:spPr>
              <a:solidFill>
                <a:schemeClr val="accent3"/>
              </a:solidFill>
              <a:ln w="25400">
                <a:solidFill>
                  <a:schemeClr val="lt1"/>
                </a:solidFill>
              </a:ln>
              <a:effectLst/>
              <a:scene3d>
                <a:camera prst="orthographicFront"/>
                <a:lightRig rig="threePt" dir="t"/>
              </a:scene3d>
              <a:sp3d contourW="25400"/>
            </c:spPr>
          </c:dPt>
          <c:dPt>
            <c:idx val="3"/>
            <c:bubble3D val="0"/>
            <c:spPr>
              <a:solidFill>
                <a:schemeClr val="accent4"/>
              </a:solidFill>
              <a:ln w="25400">
                <a:solidFill>
                  <a:schemeClr val="lt1"/>
                </a:solidFill>
              </a:ln>
              <a:effectLst/>
              <a:scene3d>
                <a:camera prst="orthographicFront"/>
                <a:lightRig rig="threePt" dir="t"/>
              </a:scene3d>
              <a:sp3d contourW="25400"/>
            </c:spPr>
          </c:dPt>
          <c:dPt>
            <c:idx val="4"/>
            <c:bubble3D val="0"/>
            <c:spPr>
              <a:solidFill>
                <a:schemeClr val="accent5"/>
              </a:solidFill>
              <a:ln w="25400">
                <a:solidFill>
                  <a:schemeClr val="lt1"/>
                </a:solidFill>
              </a:ln>
              <a:effectLst/>
              <a:scene3d>
                <a:camera prst="orthographicFront"/>
                <a:lightRig rig="threePt" dir="t"/>
              </a:scene3d>
              <a:sp3d contourW="25400"/>
            </c:spPr>
          </c:dPt>
          <c:dLbls>
            <c:dLbl>
              <c:idx val="0"/>
              <c:layout>
                <c:manualLayout>
                  <c:x val="-0.00798016339017821"/>
                  <c:y val="-0.0009778592092718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0091774703984"/>
                  <c:y val="0.074745243079857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222725650202816"/>
                  <c:y val="-0.16226012739747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856110866723765"/>
                  <c:y val="-0.27929881487783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999268401278081"/>
                  <c:y val="0.090960624830338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Sheet1!$A$2:$A$6</c:f>
              <c:strCache>
                <c:ptCount val="5"/>
                <c:pt idx="0">
                  <c:v>不满意</c:v>
                </c:pt>
                <c:pt idx="1">
                  <c:v>不太满意</c:v>
                </c:pt>
                <c:pt idx="2">
                  <c:v>满意</c:v>
                </c:pt>
                <c:pt idx="3">
                  <c:v>比较满意</c:v>
                </c:pt>
                <c:pt idx="4">
                  <c:v>非常满意</c:v>
                </c:pt>
              </c:strCache>
            </c:strRef>
          </c:cat>
          <c:val>
            <c:numRef>
              <c:f>Sheet1!$B$2:$B$6</c:f>
              <c:numCache>
                <c:formatCode>0.00%</c:formatCode>
                <c:ptCount val="5"/>
                <c:pt idx="0">
                  <c:v>0.0252</c:v>
                </c:pt>
                <c:pt idx="1">
                  <c:v>0.1091</c:v>
                </c:pt>
                <c:pt idx="2">
                  <c:v>0.2567</c:v>
                </c:pt>
                <c:pt idx="3">
                  <c:v>0.32</c:v>
                </c:pt>
                <c:pt idx="4">
                  <c:v>0.289</c:v>
                </c:pt>
              </c:numCache>
            </c:numRef>
          </c:val>
        </c:ser>
        <c:dLbls>
          <c:showLegendKey val="0"/>
          <c:showVal val="1"/>
          <c:showCatName val="0"/>
          <c:showSerName val="0"/>
          <c:showPercent val="0"/>
          <c:showBubbleSize val="0"/>
        </c:dLbls>
      </c:pie3D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百分比</c:v>
                </c:pt>
              </c:strCache>
            </c:strRef>
          </c:tx>
          <c:spPr>
            <a:solidFill>
              <a:schemeClr val="accent1"/>
            </a:solidFill>
            <a:ln>
              <a:noFill/>
            </a:ln>
            <a:effectLst/>
          </c:spPr>
          <c:invertIfNegative val="0"/>
          <c:dLbls>
            <c:dLbl>
              <c:idx val="0"/>
              <c:layout>
                <c:manualLayout>
                  <c:x val="0.0418219953760995"/>
                  <c:y val="-0.00909591036225628"/>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808916893154948"/>
                  <c:y val="0.00515734554894758"/>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92292832942824"/>
                  <c:y val="0.0021576763485477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150763999741246"/>
                  <c:y val="0.00977325844797454"/>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0.0868583650190114"/>
                      <c:h val="0.0646189510286873"/>
                    </c:manualLayout>
                  </c15:layout>
                </c:ext>
              </c:extLst>
            </c:dLbl>
            <c:dLbl>
              <c:idx val="4"/>
              <c:layout>
                <c:manualLayout>
                  <c:x val="0.184739313777779"/>
                  <c:y val="0.00539264368005024"/>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208084054302839"/>
                  <c:y val="-0.0013085281575181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208839163201479"/>
                  <c:y val="0"/>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205790731482743"/>
                  <c:y val="0.00510287259920414"/>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25013468709169"/>
                  <c:y val="0.00973920989274224"/>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320817490494296"/>
                  <c:y val="0.00956244566792234"/>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0.330679657794677"/>
                  <c:y val="0"/>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Sheet1!$A$2:$A$12</c:f>
              <c:strCache>
                <c:ptCount val="11"/>
                <c:pt idx="0">
                  <c:v>与父母意愿相悖</c:v>
                </c:pt>
                <c:pt idx="1">
                  <c:v>其他</c:v>
                </c:pt>
                <c:pt idx="2">
                  <c:v>存在就业歧视</c:v>
                </c:pt>
                <c:pt idx="3">
                  <c:v>没有什么困难</c:v>
                </c:pt>
                <c:pt idx="4">
                  <c:v>用人单位虚假宣传或隐瞒实情</c:v>
                </c:pt>
                <c:pt idx="5">
                  <c:v>社会关系缺乏</c:v>
                </c:pt>
                <c:pt idx="6">
                  <c:v>获取招聘信息的渠道太少</c:v>
                </c:pt>
                <c:pt idx="7">
                  <c:v>就业能力不足</c:v>
                </c:pt>
                <c:pt idx="8">
                  <c:v>用人单位待遇和条件不符合预期</c:v>
                </c:pt>
                <c:pt idx="9">
                  <c:v>适合自己专业和学历的岗位不多</c:v>
                </c:pt>
                <c:pt idx="10">
                  <c:v>实践经验缺乏</c:v>
                </c:pt>
              </c:strCache>
            </c:strRef>
          </c:cat>
          <c:val>
            <c:numRef>
              <c:f>Sheet1!$B$2:$B$12</c:f>
              <c:numCache>
                <c:formatCode>0.00%</c:formatCode>
                <c:ptCount val="11"/>
                <c:pt idx="0">
                  <c:v>0</c:v>
                </c:pt>
                <c:pt idx="1">
                  <c:v>0.067</c:v>
                </c:pt>
                <c:pt idx="2">
                  <c:v>0.0813</c:v>
                </c:pt>
                <c:pt idx="3">
                  <c:v>0.134</c:v>
                </c:pt>
                <c:pt idx="4">
                  <c:v>0.1866</c:v>
                </c:pt>
                <c:pt idx="5">
                  <c:v>0.201</c:v>
                </c:pt>
                <c:pt idx="6">
                  <c:v>0.201</c:v>
                </c:pt>
                <c:pt idx="7">
                  <c:v>0.2057</c:v>
                </c:pt>
                <c:pt idx="8">
                  <c:v>0.2632</c:v>
                </c:pt>
                <c:pt idx="9">
                  <c:v>0.3589</c:v>
                </c:pt>
                <c:pt idx="10">
                  <c:v>0.3589</c:v>
                </c:pt>
              </c:numCache>
            </c:numRef>
          </c:val>
        </c:ser>
        <c:dLbls>
          <c:showLegendKey val="0"/>
          <c:showVal val="1"/>
          <c:showCatName val="0"/>
          <c:showSerName val="0"/>
          <c:showPercent val="0"/>
          <c:showBubbleSize val="0"/>
        </c:dLbls>
        <c:gapWidth val="150"/>
        <c:overlap val="100"/>
        <c:axId val="781704013"/>
        <c:axId val="564517479"/>
      </c:barChart>
      <c:catAx>
        <c:axId val="781704013"/>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64517479"/>
        <c:crosses val="autoZero"/>
        <c:auto val="1"/>
        <c:lblAlgn val="ctr"/>
        <c:lblOffset val="100"/>
        <c:noMultiLvlLbl val="0"/>
      </c:catAx>
      <c:valAx>
        <c:axId val="564517479"/>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170401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0873947586861"/>
          <c:y val="0.0579874928936896"/>
          <c:w val="0.647266690383019"/>
          <c:h val="0.8"/>
        </c:manualLayout>
      </c:layout>
      <c:barChart>
        <c:barDir val="bar"/>
        <c:grouping val="stacked"/>
        <c:varyColors val="0"/>
        <c:ser>
          <c:idx val="0"/>
          <c:order val="0"/>
          <c:tx>
            <c:strRef>
              <c:f>Sheet1!$B$1</c:f>
              <c:strCache>
                <c:ptCount val="1"/>
                <c:pt idx="0">
                  <c:v>百分比</c:v>
                </c:pt>
              </c:strCache>
            </c:strRef>
          </c:tx>
          <c:spPr>
            <a:solidFill>
              <a:schemeClr val="accent1"/>
            </a:solidFill>
            <a:ln>
              <a:noFill/>
            </a:ln>
            <a:effectLst/>
          </c:spPr>
          <c:invertIfNegative val="0"/>
          <c:dLbls>
            <c:dLbl>
              <c:idx val="0"/>
              <c:layout>
                <c:manualLayout>
                  <c:x val="0.0791114802848176"/>
                  <c:y val="-0.0066825114880948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920317583443762"/>
                  <c:y val="-0.0022083390264424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90608893863538"/>
                  <c:y val="-0.000159079370739007"/>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125677461422047"/>
                  <c:y val="0.00117265230556068"/>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131365884884567"/>
                  <c:y val="0.00384726703148706"/>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14353686196251"/>
                  <c:y val="0.0035237629169560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218638379998074"/>
                  <c:y val="0.0070635740135160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235703578062803"/>
                  <c:y val="0.00393273981173189"/>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23716352424997"/>
                  <c:y val="0.0187606594656055"/>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235147634293846"/>
                  <c:y val="0.0142126208072769"/>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0.288628009012214"/>
                  <c:y val="0.0142126208072769"/>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Sheet1!$A$2:$A$12</c:f>
              <c:strCache>
                <c:ptCount val="11"/>
                <c:pt idx="0">
                  <c:v>面试/着装礼仪</c:v>
                </c:pt>
                <c:pt idx="1">
                  <c:v>求职心理辅导</c:v>
                </c:pt>
                <c:pt idx="2">
                  <c:v>邀请企业、专家专题就业宣讲</c:v>
                </c:pt>
                <c:pt idx="3">
                  <c:v>就业问题答疑（线上、线下）</c:v>
                </c:pt>
                <c:pt idx="4">
                  <c:v>其他</c:v>
                </c:pt>
                <c:pt idx="5">
                  <c:v>就业政策讲解与指导</c:v>
                </c:pt>
                <c:pt idx="6">
                  <c:v>行业/岗位发展前景等分析</c:v>
                </c:pt>
                <c:pt idx="7">
                  <c:v>岗位推荐</c:v>
                </c:pt>
                <c:pt idx="8">
                  <c:v>求职补贴</c:v>
                </c:pt>
                <c:pt idx="9">
                  <c:v>增加职位信息发布</c:v>
                </c:pt>
                <c:pt idx="10">
                  <c:v>求职技巧培训</c:v>
                </c:pt>
              </c:strCache>
            </c:strRef>
          </c:cat>
          <c:val>
            <c:numRef>
              <c:f>Sheet1!$B$2:$B$12</c:f>
              <c:numCache>
                <c:formatCode>0.00%</c:formatCode>
                <c:ptCount val="11"/>
                <c:pt idx="0">
                  <c:v>0.0622</c:v>
                </c:pt>
                <c:pt idx="1">
                  <c:v>0.0622</c:v>
                </c:pt>
                <c:pt idx="2">
                  <c:v>0.0718</c:v>
                </c:pt>
                <c:pt idx="3">
                  <c:v>0.11</c:v>
                </c:pt>
                <c:pt idx="4">
                  <c:v>0.1292</c:v>
                </c:pt>
                <c:pt idx="5">
                  <c:v>0.1435</c:v>
                </c:pt>
                <c:pt idx="6">
                  <c:v>0.2727</c:v>
                </c:pt>
                <c:pt idx="7">
                  <c:v>0.2823</c:v>
                </c:pt>
                <c:pt idx="8">
                  <c:v>0.2871</c:v>
                </c:pt>
                <c:pt idx="9">
                  <c:v>0.2871</c:v>
                </c:pt>
                <c:pt idx="10">
                  <c:v>0.3876</c:v>
                </c:pt>
              </c:numCache>
            </c:numRef>
          </c:val>
        </c:ser>
        <c:dLbls>
          <c:showLegendKey val="0"/>
          <c:showVal val="1"/>
          <c:showCatName val="0"/>
          <c:showSerName val="0"/>
          <c:showPercent val="0"/>
          <c:showBubbleSize val="0"/>
        </c:dLbls>
        <c:gapWidth val="150"/>
        <c:overlap val="100"/>
        <c:axId val="781704013"/>
        <c:axId val="564517479"/>
      </c:barChart>
      <c:catAx>
        <c:axId val="781704013"/>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64517479"/>
        <c:crosses val="autoZero"/>
        <c:auto val="1"/>
        <c:lblAlgn val="ctr"/>
        <c:lblOffset val="100"/>
        <c:noMultiLvlLbl val="0"/>
      </c:catAx>
      <c:valAx>
        <c:axId val="564517479"/>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170401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797353066743"/>
          <c:y val="0.0381763251853886"/>
          <c:w val="0.854333285897253"/>
          <c:h val="0.682889316121945"/>
        </c:manualLayout>
      </c:layout>
      <c:barChart>
        <c:barDir val="col"/>
        <c:grouping val="stacked"/>
        <c:varyColors val="0"/>
        <c:ser>
          <c:idx val="0"/>
          <c:order val="0"/>
          <c:tx>
            <c:strRef>
              <c:f>Sheet1!$B$1</c:f>
              <c:strCache>
                <c:ptCount val="1"/>
                <c:pt idx="0">
                  <c:v>系列 1</c:v>
                </c:pt>
              </c:strCache>
            </c:strRef>
          </c:tx>
          <c:spPr>
            <a:solidFill>
              <a:schemeClr val="accent1"/>
            </a:solidFill>
            <a:ln>
              <a:noFill/>
            </a:ln>
            <a:effectLst/>
          </c:spPr>
          <c:invertIfNegative val="0"/>
          <c:dPt>
            <c:idx val="1"/>
            <c:invertIfNegative val="0"/>
            <c:bubble3D val="0"/>
            <c:spPr>
              <a:solidFill>
                <a:schemeClr val="accent6">
                  <a:lumMod val="75000"/>
                </a:schemeClr>
              </a:solidFill>
              <a:ln>
                <a:noFill/>
              </a:ln>
              <a:effectLst/>
            </c:spPr>
          </c:dPt>
          <c:dPt>
            <c:idx val="2"/>
            <c:invertIfNegative val="0"/>
            <c:bubble3D val="0"/>
            <c:spPr>
              <a:solidFill>
                <a:schemeClr val="accent3"/>
              </a:solidFill>
              <a:ln>
                <a:noFill/>
              </a:ln>
              <a:effectLst/>
            </c:spPr>
          </c:dPt>
          <c:dPt>
            <c:idx val="3"/>
            <c:invertIfNegative val="0"/>
            <c:bubble3D val="0"/>
            <c:spPr>
              <a:solidFill>
                <a:schemeClr val="bg2">
                  <a:lumMod val="75000"/>
                </a:schemeClr>
              </a:solidFill>
              <a:ln>
                <a:noFill/>
              </a:ln>
              <a:effectLst/>
            </c:spPr>
          </c:dPt>
          <c:dPt>
            <c:idx val="4"/>
            <c:invertIfNegative val="0"/>
            <c:bubble3D val="0"/>
            <c:spPr>
              <a:solidFill>
                <a:schemeClr val="tx1"/>
              </a:solidFill>
              <a:ln>
                <a:noFill/>
              </a:ln>
              <a:effectLst/>
            </c:spPr>
          </c:dPt>
          <c:dLbls>
            <c:dLbl>
              <c:idx val="0"/>
              <c:layout>
                <c:manualLayout>
                  <c:x val="0.0004153621744699"/>
                  <c:y val="-0.35821775153346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07769318343532"/>
                  <c:y val="-0.267568067380757"/>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319039063611781"/>
                  <c:y val="-0.172120754371509"/>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165387078411837"/>
                  <c:y val="-0.0652628856541248"/>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185000711541198"/>
                  <c:y val="-0.0533991577405475"/>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Sheet1!$A$2:$A$6</c:f>
              <c:strCache>
                <c:ptCount val="5"/>
                <c:pt idx="0">
                  <c:v>非常满意</c:v>
                </c:pt>
                <c:pt idx="1">
                  <c:v>比较满意</c:v>
                </c:pt>
                <c:pt idx="2">
                  <c:v>满意</c:v>
                </c:pt>
                <c:pt idx="3">
                  <c:v>不太满意</c:v>
                </c:pt>
                <c:pt idx="4">
                  <c:v>不满意</c:v>
                </c:pt>
              </c:strCache>
            </c:strRef>
          </c:cat>
          <c:val>
            <c:numRef>
              <c:f>Sheet1!$B$2:$B$6</c:f>
              <c:numCache>
                <c:formatCode>0.00%</c:formatCode>
                <c:ptCount val="5"/>
                <c:pt idx="0">
                  <c:v>0.4612</c:v>
                </c:pt>
                <c:pt idx="1">
                  <c:v>0.3281</c:v>
                </c:pt>
                <c:pt idx="2">
                  <c:v>0.1694</c:v>
                </c:pt>
                <c:pt idx="3">
                  <c:v>0.0263</c:v>
                </c:pt>
                <c:pt idx="4">
                  <c:v>0.015</c:v>
                </c:pt>
              </c:numCache>
            </c:numRef>
          </c:val>
        </c:ser>
        <c:dLbls>
          <c:showLegendKey val="0"/>
          <c:showVal val="0"/>
          <c:showCatName val="0"/>
          <c:showSerName val="0"/>
          <c:showPercent val="0"/>
          <c:showBubbleSize val="0"/>
        </c:dLbls>
        <c:gapWidth val="150"/>
        <c:overlap val="100"/>
        <c:axId val="914338915"/>
        <c:axId val="844564971"/>
      </c:barChart>
      <c:catAx>
        <c:axId val="91433891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44564971"/>
        <c:crosses val="autoZero"/>
        <c:auto val="1"/>
        <c:lblAlgn val="ctr"/>
        <c:lblOffset val="100"/>
        <c:noMultiLvlLbl val="0"/>
      </c:catAx>
      <c:valAx>
        <c:axId val="844564971"/>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1433891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3925667828107"/>
          <c:y val="0.0706375336725531"/>
          <c:w val="0.851393728222996"/>
          <c:h val="0.654414845854535"/>
        </c:manualLayout>
      </c:layout>
      <c:barChart>
        <c:barDir val="col"/>
        <c:grouping val="stacked"/>
        <c:varyColors val="0"/>
        <c:ser>
          <c:idx val="0"/>
          <c:order val="0"/>
          <c:tx>
            <c:strRef>
              <c:f>Sheet1!$B$1</c:f>
              <c:strCache>
                <c:ptCount val="1"/>
                <c:pt idx="0">
                  <c:v>系列 1</c:v>
                </c:pt>
              </c:strCache>
            </c:strRef>
          </c:tx>
          <c:spPr>
            <a:solidFill>
              <a:schemeClr val="accent1"/>
            </a:solidFill>
            <a:ln>
              <a:noFill/>
            </a:ln>
            <a:effectLst/>
          </c:spPr>
          <c:invertIfNegative val="0"/>
          <c:dPt>
            <c:idx val="1"/>
            <c:invertIfNegative val="0"/>
            <c:bubble3D val="0"/>
            <c:spPr>
              <a:solidFill>
                <a:schemeClr val="accent6">
                  <a:lumMod val="75000"/>
                </a:schemeClr>
              </a:solidFill>
              <a:ln>
                <a:noFill/>
              </a:ln>
              <a:effectLst/>
            </c:spPr>
          </c:dPt>
          <c:dPt>
            <c:idx val="2"/>
            <c:invertIfNegative val="0"/>
            <c:bubble3D val="0"/>
            <c:spPr>
              <a:solidFill>
                <a:schemeClr val="accent3"/>
              </a:solidFill>
              <a:ln>
                <a:noFill/>
              </a:ln>
              <a:effectLst/>
            </c:spPr>
          </c:dPt>
          <c:dPt>
            <c:idx val="3"/>
            <c:invertIfNegative val="0"/>
            <c:bubble3D val="0"/>
            <c:spPr>
              <a:solidFill>
                <a:schemeClr val="bg2">
                  <a:lumMod val="75000"/>
                </a:schemeClr>
              </a:solidFill>
              <a:ln>
                <a:noFill/>
              </a:ln>
              <a:effectLst/>
            </c:spPr>
          </c:dPt>
          <c:dPt>
            <c:idx val="4"/>
            <c:invertIfNegative val="0"/>
            <c:bubble3D val="0"/>
            <c:spPr>
              <a:solidFill>
                <a:schemeClr val="tx1"/>
              </a:solidFill>
              <a:ln>
                <a:noFill/>
              </a:ln>
              <a:effectLst/>
            </c:spPr>
          </c:dPt>
          <c:dLbls>
            <c:dLbl>
              <c:idx val="0"/>
              <c:layout>
                <c:manualLayout>
                  <c:x val="-0.00123481133650498"/>
                  <c:y val="-0.31054453796390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0115595922963366"/>
                  <c:y val="-0.2978826575719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889057961035146"/>
                  <c:y val="-0.169230932310606"/>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709837322608507"/>
                  <c:y val="-0.0962443348976787"/>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225548421640939"/>
                  <c:y val="-0.0792080069938304"/>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0"/>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Sheet1!$A$2:$A$6</c:f>
              <c:strCache>
                <c:ptCount val="5"/>
                <c:pt idx="0">
                  <c:v>非常愿意</c:v>
                </c:pt>
                <c:pt idx="1">
                  <c:v>比较愿意</c:v>
                </c:pt>
                <c:pt idx="2">
                  <c:v>愿意</c:v>
                </c:pt>
                <c:pt idx="3">
                  <c:v>不太愿意</c:v>
                </c:pt>
                <c:pt idx="4">
                  <c:v>不愿意</c:v>
                </c:pt>
              </c:strCache>
            </c:strRef>
          </c:cat>
          <c:val>
            <c:numRef>
              <c:f>Sheet1!$B$2:$B$6</c:f>
              <c:numCache>
                <c:formatCode>0.00%</c:formatCode>
                <c:ptCount val="5"/>
                <c:pt idx="0">
                  <c:v>0.3808</c:v>
                </c:pt>
                <c:pt idx="1">
                  <c:v>0.3821</c:v>
                </c:pt>
                <c:pt idx="2">
                  <c:v>0.1631</c:v>
                </c:pt>
                <c:pt idx="3">
                  <c:v>0.0501</c:v>
                </c:pt>
                <c:pt idx="4">
                  <c:v>0.0239</c:v>
                </c:pt>
              </c:numCache>
            </c:numRef>
          </c:val>
        </c:ser>
        <c:dLbls>
          <c:showLegendKey val="0"/>
          <c:showVal val="0"/>
          <c:showCatName val="0"/>
          <c:showSerName val="0"/>
          <c:showPercent val="0"/>
          <c:showBubbleSize val="0"/>
        </c:dLbls>
        <c:gapWidth val="150"/>
        <c:overlap val="100"/>
        <c:axId val="914338915"/>
        <c:axId val="844564971"/>
      </c:barChart>
      <c:catAx>
        <c:axId val="91433891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44564971"/>
        <c:crosses val="autoZero"/>
        <c:auto val="1"/>
        <c:lblAlgn val="ctr"/>
        <c:lblOffset val="100"/>
        <c:noMultiLvlLbl val="0"/>
      </c:catAx>
      <c:valAx>
        <c:axId val="844564971"/>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1433891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view3D>
      <c:rotX val="30"/>
      <c:rotY val="0"/>
      <c:depthPercent val="100"/>
      <c:rAngAx val="0"/>
      <c:perspective val="30"/>
    </c:view3D>
    <c:floor>
      <c:thickness val="0"/>
    </c:floor>
    <c:sideWall>
      <c:thickness val="0"/>
    </c:sideWall>
    <c:backWall>
      <c:thickness val="0"/>
    </c:backWall>
    <c:plotArea>
      <c:layout>
        <c:manualLayout>
          <c:layoutTarget val="inner"/>
          <c:xMode val="edge"/>
          <c:yMode val="edge"/>
          <c:x val="0.0896728654811999"/>
          <c:y val="0.099599517490953"/>
          <c:w val="0.827441292249219"/>
          <c:h val="0.682344993968637"/>
        </c:manualLayout>
      </c:layout>
      <c:pie3DChart>
        <c:varyColors val="1"/>
        <c:ser>
          <c:idx val="0"/>
          <c:order val="0"/>
          <c:tx>
            <c:strRef>
              <c:f>Sheet1!$B$1</c:f>
              <c:strCache>
                <c:ptCount val="1"/>
                <c:pt idx="0">
                  <c:v>列1</c:v>
                </c:pt>
              </c:strCache>
            </c:strRef>
          </c:tx>
          <c:explosion val="0"/>
          <c:dPt>
            <c:idx val="0"/>
            <c:bubble3D val="0"/>
          </c:dPt>
          <c:dPt>
            <c:idx val="1"/>
            <c:bubble3D val="0"/>
          </c:dPt>
          <c:dPt>
            <c:idx val="2"/>
            <c:bubble3D val="0"/>
          </c:dPt>
          <c:dPt>
            <c:idx val="3"/>
            <c:bubble3D val="0"/>
          </c:dPt>
          <c:dPt>
            <c:idx val="4"/>
            <c:bubble3D val="0"/>
          </c:dPt>
          <c:dLbls>
            <c:dLbl>
              <c:idx val="0"/>
              <c:layout>
                <c:manualLayout>
                  <c:x val="-0.0498167503732863"/>
                  <c:y val="0.092641737032569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82471226649913"/>
                  <c:y val="-0.19457638133487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21014597784933"/>
                  <c:y val="0.0384673781068235"/>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135740464232388"/>
                  <c:y val="-0.018094089264173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Sheet1!$A$2:$A$6</c:f>
              <c:strCache>
                <c:ptCount val="5"/>
                <c:pt idx="0">
                  <c:v>非常高</c:v>
                </c:pt>
                <c:pt idx="1">
                  <c:v>高</c:v>
                </c:pt>
                <c:pt idx="2">
                  <c:v>一般</c:v>
                </c:pt>
                <c:pt idx="3">
                  <c:v>差</c:v>
                </c:pt>
                <c:pt idx="4">
                  <c:v>非常差</c:v>
                </c:pt>
              </c:strCache>
            </c:strRef>
          </c:cat>
          <c:val>
            <c:numRef>
              <c:f>Sheet1!$B$2:$B$6</c:f>
              <c:numCache>
                <c:formatCode>0.00%</c:formatCode>
                <c:ptCount val="5"/>
                <c:pt idx="0">
                  <c:v>0.1706</c:v>
                </c:pt>
                <c:pt idx="1">
                  <c:v>0.4589</c:v>
                </c:pt>
                <c:pt idx="2">
                  <c:v>0.3452</c:v>
                </c:pt>
                <c:pt idx="3">
                  <c:v>0.0115</c:v>
                </c:pt>
                <c:pt idx="4">
                  <c:v>0.0138</c:v>
                </c:pt>
              </c:numCache>
            </c:numRef>
          </c:val>
        </c:ser>
        <c:dLbls>
          <c:showLegendKey val="0"/>
          <c:showVal val="1"/>
          <c:showCatName val="0"/>
          <c:showSerName val="0"/>
          <c:showPercent val="0"/>
          <c:showBubbleSize val="0"/>
        </c:dLbls>
      </c:pie3DChart>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view3D>
      <c:rotX val="30"/>
      <c:rotY val="0"/>
      <c:depthPercent val="100"/>
      <c:rAngAx val="0"/>
      <c:perspective val="30"/>
    </c:view3D>
    <c:floor>
      <c:thickness val="0"/>
    </c:floor>
    <c:sideWall>
      <c:thickness val="0"/>
    </c:sideWall>
    <c:backWall>
      <c:thickness val="0"/>
    </c:backWall>
    <c:plotArea>
      <c:layout>
        <c:manualLayout>
          <c:layoutTarget val="inner"/>
          <c:xMode val="edge"/>
          <c:yMode val="edge"/>
          <c:x val="0.0716215545070772"/>
          <c:y val="0.0977941515081741"/>
          <c:w val="0.831924509560467"/>
          <c:h val="0.691356205387981"/>
        </c:manualLayout>
      </c:layout>
      <c:pie3DChart>
        <c:varyColors val="1"/>
        <c:ser>
          <c:idx val="0"/>
          <c:order val="0"/>
          <c:tx>
            <c:strRef>
              <c:f>Sheet1!$B$1</c:f>
              <c:strCache>
                <c:ptCount val="1"/>
                <c:pt idx="0">
                  <c:v>列1</c:v>
                </c:pt>
              </c:strCache>
            </c:strRef>
          </c:tx>
          <c:explosion val="0"/>
          <c:dPt>
            <c:idx val="0"/>
            <c:bubble3D val="0"/>
          </c:dPt>
          <c:dPt>
            <c:idx val="1"/>
            <c:bubble3D val="0"/>
          </c:dPt>
          <c:dPt>
            <c:idx val="2"/>
            <c:bubble3D val="0"/>
          </c:dPt>
          <c:dPt>
            <c:idx val="3"/>
            <c:bubble3D val="0"/>
          </c:dPt>
          <c:dPt>
            <c:idx val="4"/>
            <c:bubble3D val="0"/>
          </c:dPt>
          <c:dLbls>
            <c:dLbl>
              <c:idx val="0"/>
              <c:layout>
                <c:manualLayout>
                  <c:x val="-0.0461354769133403"/>
                  <c:y val="0.091873710443924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78718694377271"/>
                  <c:y val="-0.201830586564726"/>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181182071703906"/>
                  <c:y val="-0.17681093796966"/>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544999565748001"/>
                  <c:y val="0.075879553549493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142770409185351"/>
                  <c:y val="0.0204927469491135"/>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Sheet1!$A$2:$A$6</c:f>
              <c:strCache>
                <c:ptCount val="5"/>
                <c:pt idx="0">
                  <c:v>非常合理</c:v>
                </c:pt>
                <c:pt idx="1">
                  <c:v>比较合理</c:v>
                </c:pt>
                <c:pt idx="2">
                  <c:v>合理</c:v>
                </c:pt>
                <c:pt idx="3">
                  <c:v>不太合理</c:v>
                </c:pt>
                <c:pt idx="4">
                  <c:v>不合理</c:v>
                </c:pt>
              </c:strCache>
            </c:strRef>
          </c:cat>
          <c:val>
            <c:numRef>
              <c:f>Sheet1!$B$2:$B$6</c:f>
              <c:numCache>
                <c:formatCode>0.00%</c:formatCode>
                <c:ptCount val="5"/>
                <c:pt idx="0">
                  <c:v>0.1476</c:v>
                </c:pt>
                <c:pt idx="1">
                  <c:v>0.3544</c:v>
                </c:pt>
                <c:pt idx="2">
                  <c:v>0.3659</c:v>
                </c:pt>
                <c:pt idx="3">
                  <c:v>0.1086</c:v>
                </c:pt>
                <c:pt idx="4">
                  <c:v>0.0235</c:v>
                </c:pt>
              </c:numCache>
            </c:numRef>
          </c:val>
        </c:ser>
        <c:dLbls>
          <c:showLegendKey val="0"/>
          <c:showVal val="1"/>
          <c:showCatName val="0"/>
          <c:showSerName val="0"/>
          <c:showPercent val="0"/>
          <c:showBubbleSize val="0"/>
        </c:dLbls>
      </c:pie3DChart>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view3D>
      <c:rotX val="30"/>
      <c:rotY val="0"/>
      <c:depthPercent val="100"/>
      <c:rAngAx val="0"/>
      <c:perspective val="30"/>
    </c:view3D>
    <c:floor>
      <c:thickness val="0"/>
    </c:floor>
    <c:sideWall>
      <c:thickness val="0"/>
    </c:sideWall>
    <c:backWall>
      <c:thickness val="0"/>
    </c:backWall>
    <c:plotArea>
      <c:layout/>
      <c:pie3DChart>
        <c:varyColors val="1"/>
        <c:ser>
          <c:idx val="0"/>
          <c:order val="0"/>
          <c:tx>
            <c:strRef>
              <c:f>Sheet1!$B$1</c:f>
              <c:strCache>
                <c:ptCount val="1"/>
                <c:pt idx="0">
                  <c:v>列1</c:v>
                </c:pt>
              </c:strCache>
            </c:strRef>
          </c:tx>
          <c:explosion val="0"/>
          <c:dPt>
            <c:idx val="0"/>
            <c:bubble3D val="0"/>
          </c:dPt>
          <c:dPt>
            <c:idx val="1"/>
            <c:bubble3D val="0"/>
          </c:dPt>
          <c:dPt>
            <c:idx val="2"/>
            <c:bubble3D val="0"/>
          </c:dPt>
          <c:dPt>
            <c:idx val="3"/>
            <c:bubble3D val="0"/>
          </c:dPt>
          <c:dPt>
            <c:idx val="4"/>
            <c:bubble3D val="0"/>
          </c:dPt>
          <c:dLbls>
            <c:dLbl>
              <c:idx val="1"/>
              <c:layout>
                <c:manualLayout>
                  <c:x val="-0.210541529034228"/>
                  <c:y val="-0.14319880406508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178279559889513"/>
                  <c:y val="-0.175451597406286"/>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691216202873668"/>
                  <c:y val="0.073148773351339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Sheet1!$A$2:$A$6</c:f>
              <c:strCache>
                <c:ptCount val="5"/>
                <c:pt idx="0">
                  <c:v>非常好</c:v>
                </c:pt>
                <c:pt idx="1">
                  <c:v>比较好</c:v>
                </c:pt>
                <c:pt idx="2">
                  <c:v>好</c:v>
                </c:pt>
                <c:pt idx="3">
                  <c:v>不太好</c:v>
                </c:pt>
                <c:pt idx="4">
                  <c:v>不好</c:v>
                </c:pt>
              </c:strCache>
            </c:strRef>
          </c:cat>
          <c:val>
            <c:numRef>
              <c:f>Sheet1!$B$2:$B$6</c:f>
              <c:numCache>
                <c:formatCode>0.00%</c:formatCode>
                <c:ptCount val="5"/>
                <c:pt idx="0">
                  <c:v>0.1436</c:v>
                </c:pt>
                <c:pt idx="1">
                  <c:v>0.3263</c:v>
                </c:pt>
                <c:pt idx="2">
                  <c:v>0.3808</c:v>
                </c:pt>
                <c:pt idx="3">
                  <c:v>0.1252</c:v>
                </c:pt>
                <c:pt idx="4">
                  <c:v>0.0241</c:v>
                </c:pt>
              </c:numCache>
            </c:numRef>
          </c:val>
        </c:ser>
        <c:dLbls>
          <c:showLegendKey val="0"/>
          <c:showVal val="1"/>
          <c:showCatName val="0"/>
          <c:showSerName val="0"/>
          <c:showPercent val="0"/>
          <c:showBubbleSize val="0"/>
        </c:dLbls>
      </c:pie3DChart>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view3D>
      <c:rotX val="30"/>
      <c:rotY val="0"/>
      <c:depthPercent val="100"/>
      <c:rAngAx val="0"/>
      <c:perspective val="30"/>
    </c:view3D>
    <c:floor>
      <c:thickness val="0"/>
    </c:floor>
    <c:sideWall>
      <c:thickness val="0"/>
    </c:sideWall>
    <c:backWall>
      <c:thickness val="0"/>
    </c:backWall>
    <c:plotArea>
      <c:layout/>
      <c:pie3DChart>
        <c:varyColors val="1"/>
        <c:ser>
          <c:idx val="0"/>
          <c:order val="0"/>
          <c:tx>
            <c:strRef>
              <c:f>Sheet1!$B$1</c:f>
              <c:strCache>
                <c:ptCount val="1"/>
                <c:pt idx="0">
                  <c:v>销售额</c:v>
                </c:pt>
              </c:strCache>
            </c:strRef>
          </c:tx>
          <c:explosion val="0"/>
          <c:dPt>
            <c:idx val="0"/>
            <c:bubble3D val="0"/>
          </c:dPt>
          <c:dPt>
            <c:idx val="1"/>
            <c:bubble3D val="0"/>
          </c:dPt>
          <c:dPt>
            <c:idx val="2"/>
            <c:bubble3D val="0"/>
          </c:dPt>
          <c:dPt>
            <c:idx val="3"/>
            <c:bubble3D val="0"/>
          </c:dPt>
          <c:dPt>
            <c:idx val="4"/>
            <c:bubble3D val="0"/>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53.96</a:t>
                    </a:r>
                    <a:r>
                      <a:t>%</a:t>
                    </a:r>
                  </a:p>
                </c:rich>
              </c:tx>
              <c:dLblPos val="bestFit"/>
              <c:showLegendKey val="0"/>
              <c:showVal val="1"/>
              <c:showCatName val="0"/>
              <c:showSerName val="0"/>
              <c:showPercent val="0"/>
              <c:showBubbleSize val="0"/>
              <c:extLst>
                <c:ext xmlns:c15="http://schemas.microsoft.com/office/drawing/2012/chart" uri="{CE6537A1-D6FC-4f65-9D91-7224C49458BB}"/>
              </c:extLst>
            </c:dLbl>
            <c:dLbl>
              <c:idx val="1"/>
              <c:layout>
                <c:manualLayout>
                  <c:x val="0.113331648605156"/>
                  <c:y val="-0.233983515538935"/>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21.45</a:t>
                    </a:r>
                    <a:r>
                      <a:t>%</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106315498323279"/>
                  <c:y val="0.0778541969471116"/>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19.69</a:t>
                    </a:r>
                    <a:r>
                      <a:t>%</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0929448591379726"/>
                      <c:h val="0.0701754385964912"/>
                    </c:manualLayout>
                  </c15:layout>
                </c:ext>
              </c:extLst>
            </c:dLbl>
            <c:dLbl>
              <c:idx val="3"/>
              <c:layout>
                <c:manualLayout>
                  <c:x val="0.0212066596944841"/>
                  <c:y val="0.0129244804865687"/>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3.02</a:t>
                    </a:r>
                    <a:r>
                      <a:t>%</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0945099927763063"/>
                      <c:h val="0.0445820433436533"/>
                    </c:manualLayout>
                  </c15:layout>
                </c:ext>
              </c:extLst>
            </c:dLbl>
            <c:dLbl>
              <c:idx val="4"/>
              <c:layout>
                <c:manualLayout>
                  <c:x val="0.0203953166309957"/>
                  <c:y val="0.101621895590471"/>
                </c:manualLayout>
              </c:layout>
              <c:dLblPos val="bestFit"/>
              <c:showLegendKey val="0"/>
              <c:showVal val="1"/>
              <c:showCatName val="0"/>
              <c:showSerName val="0"/>
              <c:showPercent val="0"/>
              <c:showBubbleSize val="0"/>
              <c:extLst>
                <c:ext xmlns:c15="http://schemas.microsoft.com/office/drawing/2012/chart" uri="{CE6537A1-D6FC-4f65-9D91-7224C49458BB}">
                  <c15:layout>
                    <c:manualLayout>
                      <c:w val="0.107264257837089"/>
                      <c:h val="0.0727318803852002"/>
                    </c:manualLayout>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Sheet1!$A$2:$A$6</c:f>
              <c:strCache>
                <c:ptCount val="5"/>
                <c:pt idx="0">
                  <c:v>非常满意</c:v>
                </c:pt>
                <c:pt idx="1">
                  <c:v>比较满意</c:v>
                </c:pt>
                <c:pt idx="2">
                  <c:v>满意</c:v>
                </c:pt>
                <c:pt idx="3">
                  <c:v>不太满意</c:v>
                </c:pt>
                <c:pt idx="4">
                  <c:v>不满意</c:v>
                </c:pt>
              </c:strCache>
            </c:strRef>
          </c:cat>
          <c:val>
            <c:numRef>
              <c:f>Sheet1!$B$2:$B$6</c:f>
              <c:numCache>
                <c:formatCode>0.00%</c:formatCode>
                <c:ptCount val="5"/>
                <c:pt idx="0">
                  <c:v>0.5396</c:v>
                </c:pt>
                <c:pt idx="1">
                  <c:v>0.2145</c:v>
                </c:pt>
                <c:pt idx="2">
                  <c:v>0.1969</c:v>
                </c:pt>
                <c:pt idx="3">
                  <c:v>0.0302</c:v>
                </c:pt>
                <c:pt idx="4">
                  <c:v>0.0188</c:v>
                </c:pt>
              </c:numCache>
            </c:numRef>
          </c:val>
        </c:ser>
        <c:dLbls>
          <c:showLegendKey val="0"/>
          <c:showVal val="1"/>
          <c:showCatName val="0"/>
          <c:showSerName val="0"/>
          <c:showPercent val="0"/>
          <c:showBubbleSize val="0"/>
        </c:dLbls>
      </c:pie3D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百分比</c:v>
                </c:pt>
              </c:strCache>
            </c:strRef>
          </c:tx>
          <c:spPr>
            <a:solidFill>
              <a:schemeClr val="accent1"/>
            </a:solidFill>
            <a:ln>
              <a:noFill/>
            </a:ln>
            <a:effectLst/>
          </c:spPr>
          <c:invertIfNegative val="0"/>
          <c:dLbls>
            <c:dLbl>
              <c:idx val="0"/>
              <c:layout>
                <c:manualLayout>
                  <c:x val="0.0891607269473274"/>
                  <c:y val="0.00274435296601225"/>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936937153709838"/>
                  <c:y val="-0.00301143473517178"/>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118933664165692"/>
                  <c:y val="0.00468637346791637"/>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148966602109999"/>
                  <c:y val="0.00690394342778163"/>
                </c:manualLayout>
              </c:layout>
              <c:dLblPos val="ctr"/>
              <c:showLegendKey val="0"/>
              <c:showVal val="1"/>
              <c:showCatName val="0"/>
              <c:showSerName val="0"/>
              <c:showPercent val="0"/>
              <c:showBubbleSize val="0"/>
              <c:extLst>
                <c:ext xmlns:c15="http://schemas.microsoft.com/office/drawing/2012/chart" uri="{CE6537A1-D6FC-4f65-9D91-7224C49458BB}">
                  <c15:layout>
                    <c:manualLayout>
                      <c:w val="0.126943447804545"/>
                      <c:h val="0.118069145466406"/>
                    </c:manualLayout>
                  </c15:layout>
                </c:ext>
              </c:extLst>
            </c:dLbl>
            <c:dLbl>
              <c:idx val="4"/>
              <c:layout>
                <c:manualLayout>
                  <c:x val="0.1502494644152"/>
                  <c:y val="-0.0133893447792921"/>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181477044080089"/>
                  <c:y val="0.00743712000807287"/>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344670199351741"/>
                  <c:y val="0.0145205453943444"/>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Sheet1!$A$2:$A$8</c:f>
              <c:strCache>
                <c:ptCount val="7"/>
                <c:pt idx="0">
                  <c:v>股份制企业</c:v>
                </c:pt>
                <c:pt idx="1">
                  <c:v>国有企业</c:v>
                </c:pt>
                <c:pt idx="2">
                  <c:v>其他事业单位</c:v>
                </c:pt>
                <c:pt idx="3">
                  <c:v>外（合）资企业</c:v>
                </c:pt>
                <c:pt idx="4">
                  <c:v>党政机关（包括部队单位）</c:v>
                </c:pt>
                <c:pt idx="5">
                  <c:v>其他</c:v>
                </c:pt>
                <c:pt idx="6">
                  <c:v>民（私）营企业</c:v>
                </c:pt>
              </c:strCache>
            </c:strRef>
          </c:cat>
          <c:val>
            <c:numRef>
              <c:f>Sheet1!$B$2:$B$8</c:f>
              <c:numCache>
                <c:formatCode>0.00%</c:formatCode>
                <c:ptCount val="7"/>
                <c:pt idx="0">
                  <c:v>0.0645</c:v>
                </c:pt>
                <c:pt idx="1">
                  <c:v>0.0645</c:v>
                </c:pt>
                <c:pt idx="2">
                  <c:v>0.0968</c:v>
                </c:pt>
                <c:pt idx="3">
                  <c:v>0.129</c:v>
                </c:pt>
                <c:pt idx="4">
                  <c:v>0.129</c:v>
                </c:pt>
                <c:pt idx="5">
                  <c:v>0.1613</c:v>
                </c:pt>
                <c:pt idx="6">
                  <c:v>0.3549</c:v>
                </c:pt>
              </c:numCache>
            </c:numRef>
          </c:val>
        </c:ser>
        <c:ser>
          <c:idx val="1"/>
          <c:order val="1"/>
          <c:tx>
            <c:strRef>
              <c:f>Sheet1!$C$1</c:f>
              <c:strCache>
                <c:ptCount val="1"/>
                <c:pt idx="0">
                  <c:v/>
                </c:pt>
              </c:strCache>
            </c:strRef>
          </c:tx>
          <c:spPr>
            <a:solidFill>
              <a:schemeClr val="accent2"/>
            </a:solidFill>
            <a:ln>
              <a:noFill/>
            </a:ln>
            <a:effectLst/>
          </c:spPr>
          <c:invertIfNegative val="0"/>
          <c:dLbls>
            <c:delete val="1"/>
          </c:dLbls>
          <c:cat>
            <c:strRef>
              <c:f>Sheet1!$A$2:$A$8</c:f>
              <c:strCache>
                <c:ptCount val="7"/>
                <c:pt idx="0">
                  <c:v>股份制企业</c:v>
                </c:pt>
                <c:pt idx="1">
                  <c:v>国有企业</c:v>
                </c:pt>
                <c:pt idx="2">
                  <c:v>其他事业单位</c:v>
                </c:pt>
                <c:pt idx="3">
                  <c:v>外（合）资企业</c:v>
                </c:pt>
                <c:pt idx="4">
                  <c:v>党政机关（包括部队单位）</c:v>
                </c:pt>
                <c:pt idx="5">
                  <c:v>其他</c:v>
                </c:pt>
                <c:pt idx="6">
                  <c:v>民（私）营企业</c:v>
                </c:pt>
              </c:strCache>
            </c:strRef>
          </c:cat>
          <c:val>
            <c:numRef>
              <c:f>Sheet1!$C$2:$C$8</c:f>
            </c:numRef>
          </c:val>
        </c:ser>
        <c:dLbls>
          <c:showLegendKey val="0"/>
          <c:showVal val="0"/>
          <c:showCatName val="0"/>
          <c:showSerName val="0"/>
          <c:showPercent val="0"/>
          <c:showBubbleSize val="0"/>
        </c:dLbls>
        <c:gapWidth val="150"/>
        <c:overlap val="100"/>
        <c:axId val="912760507"/>
        <c:axId val="779181353"/>
      </c:barChart>
      <c:catAx>
        <c:axId val="912760507"/>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9181353"/>
        <c:crosses val="autoZero"/>
        <c:auto val="1"/>
        <c:lblAlgn val="ctr"/>
        <c:lblOffset val="100"/>
        <c:noMultiLvlLbl val="0"/>
      </c:catAx>
      <c:valAx>
        <c:axId val="779181353"/>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1276050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百分比</c:v>
                </c:pt>
              </c:strCache>
            </c:strRef>
          </c:tx>
          <c:spPr>
            <a:solidFill>
              <a:schemeClr val="accent1"/>
            </a:solidFill>
            <a:ln>
              <a:noFill/>
            </a:ln>
            <a:effectLst/>
          </c:spPr>
          <c:invertIfNegative val="0"/>
          <c:dLbls>
            <c:dLbl>
              <c:idx val="0"/>
              <c:layout>
                <c:manualLayout>
                  <c:x val="0.0613157543583895"/>
                  <c:y val="-0.0093437229217676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597404258762127"/>
                  <c:y val="-0.006881580770350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632094053724824"/>
                  <c:y val="-0.0038104310550131"/>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606024387321858"/>
                  <c:y val="0"/>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623194949926481"/>
                  <c:y val="0.00664936323002166"/>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61094287284539"/>
                  <c:y val="0.00135422330420539"/>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617728962770932"/>
                  <c:y val="0.00144780276188118"/>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659781141725961"/>
                  <c:y val="0.00167137978126078"/>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954087164291181"/>
                  <c:y val="-0.0040485829959514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0953048601895876"/>
                  <c:y val="0.00853817738201115"/>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0.11652411911907"/>
                  <c:y val="0.00929294457584317"/>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0.119676468512584"/>
                  <c:y val="-0.0038104310550131"/>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2"/>
              <c:layout>
                <c:manualLayout>
                  <c:x val="0.160307661167898"/>
                  <c:y val="-0.0080971659919028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3"/>
              <c:layout>
                <c:manualLayout>
                  <c:x val="0.305871348282361"/>
                  <c:y val="0.000942570005255821"/>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Sheet1!$A$2:$A$15</c:f>
              <c:strCache>
                <c:ptCount val="14"/>
                <c:pt idx="0">
                  <c:v>租赁和商务服务业</c:v>
                </c:pt>
                <c:pt idx="1">
                  <c:v>文化、体育和娱乐</c:v>
                </c:pt>
                <c:pt idx="2">
                  <c:v>卫生和社会工作</c:v>
                </c:pt>
                <c:pt idx="3">
                  <c:v>科学研究和技术服务业</c:v>
                </c:pt>
                <c:pt idx="4">
                  <c:v>军队</c:v>
                </c:pt>
                <c:pt idx="5">
                  <c:v>居民服务、修理和其他服务业</c:v>
                </c:pt>
                <c:pt idx="6">
                  <c:v>金融业</c:v>
                </c:pt>
                <c:pt idx="7">
                  <c:v>交通运输、仓储和邮政业</c:v>
                </c:pt>
                <c:pt idx="8">
                  <c:v>农、林、牧、渔业</c:v>
                </c:pt>
                <c:pt idx="9">
                  <c:v>建筑业</c:v>
                </c:pt>
                <c:pt idx="10">
                  <c:v>信息传输、软件和信息技术服务业</c:v>
                </c:pt>
                <c:pt idx="11">
                  <c:v>批发和零售业</c:v>
                </c:pt>
                <c:pt idx="12">
                  <c:v>公共管理、社会保障和社会组织</c:v>
                </c:pt>
                <c:pt idx="13">
                  <c:v>制造业</c:v>
                </c:pt>
              </c:strCache>
            </c:strRef>
          </c:cat>
          <c:val>
            <c:numRef>
              <c:f>Sheet1!$B$2:$B$15</c:f>
              <c:numCache>
                <c:formatCode>0.00%</c:formatCode>
                <c:ptCount val="14"/>
                <c:pt idx="0">
                  <c:v>0.0323</c:v>
                </c:pt>
                <c:pt idx="1">
                  <c:v>0.0323</c:v>
                </c:pt>
                <c:pt idx="2">
                  <c:v>0.0323</c:v>
                </c:pt>
                <c:pt idx="3">
                  <c:v>0.0323</c:v>
                </c:pt>
                <c:pt idx="4">
                  <c:v>0.0323</c:v>
                </c:pt>
                <c:pt idx="5">
                  <c:v>0.0323</c:v>
                </c:pt>
                <c:pt idx="6">
                  <c:v>0.0323</c:v>
                </c:pt>
                <c:pt idx="7">
                  <c:v>0.0323</c:v>
                </c:pt>
                <c:pt idx="8">
                  <c:v>0.0645</c:v>
                </c:pt>
                <c:pt idx="9">
                  <c:v>0.0645</c:v>
                </c:pt>
                <c:pt idx="10">
                  <c:v>0.0967</c:v>
                </c:pt>
                <c:pt idx="11">
                  <c:v>0.0967</c:v>
                </c:pt>
                <c:pt idx="12">
                  <c:v>0.129</c:v>
                </c:pt>
                <c:pt idx="13">
                  <c:v>0.2902</c:v>
                </c:pt>
              </c:numCache>
            </c:numRef>
          </c:val>
        </c:ser>
        <c:dLbls>
          <c:showLegendKey val="0"/>
          <c:showVal val="1"/>
          <c:showCatName val="0"/>
          <c:showSerName val="0"/>
          <c:showPercent val="0"/>
          <c:showBubbleSize val="0"/>
        </c:dLbls>
        <c:gapWidth val="150"/>
        <c:overlap val="100"/>
        <c:axId val="198073333"/>
        <c:axId val="860381984"/>
      </c:barChart>
      <c:catAx>
        <c:axId val="198073333"/>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60381984"/>
        <c:crosses val="autoZero"/>
        <c:auto val="1"/>
        <c:lblAlgn val="ctr"/>
        <c:lblOffset val="100"/>
        <c:noMultiLvlLbl val="0"/>
      </c:catAx>
      <c:valAx>
        <c:axId val="860381984"/>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807333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tx>
            <c:strRef>
              <c:f>Sheet1!$B$1</c:f>
              <c:strCache>
                <c:ptCount val="1"/>
                <c:pt idx="0">
                  <c:v>百分比</c:v>
                </c:pt>
              </c:strCache>
            </c:strRef>
          </c:tx>
          <c:spPr>
            <a:scene3d>
              <a:camera prst="orthographicFront"/>
              <a:lightRig rig="threePt" dir="t"/>
            </a:scene3d>
            <a:sp3d contourW="25400"/>
          </c:spPr>
          <c:explosion val="0"/>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Pt>
            <c:idx val="2"/>
            <c:bubble3D val="0"/>
            <c:spPr>
              <a:solidFill>
                <a:schemeClr val="accent3"/>
              </a:solidFill>
              <a:ln w="25400">
                <a:solidFill>
                  <a:schemeClr val="lt1"/>
                </a:solidFill>
              </a:ln>
              <a:effectLst/>
              <a:scene3d>
                <a:camera prst="orthographicFront"/>
                <a:lightRig rig="threePt" dir="t"/>
              </a:scene3d>
              <a:sp3d contourW="25400"/>
            </c:spPr>
          </c:dPt>
          <c:dPt>
            <c:idx val="3"/>
            <c:bubble3D val="0"/>
            <c:spPr>
              <a:solidFill>
                <a:schemeClr val="accent4"/>
              </a:solidFill>
              <a:ln w="25400">
                <a:solidFill>
                  <a:schemeClr val="lt1"/>
                </a:solidFill>
              </a:ln>
              <a:effectLst/>
              <a:scene3d>
                <a:camera prst="orthographicFront"/>
                <a:lightRig rig="threePt" dir="t"/>
              </a:scene3d>
              <a:sp3d contourW="25400"/>
            </c:spPr>
          </c:dPt>
          <c:dPt>
            <c:idx val="4"/>
            <c:bubble3D val="0"/>
            <c:spPr>
              <a:solidFill>
                <a:schemeClr val="accent5"/>
              </a:solidFill>
              <a:ln w="25400">
                <a:solidFill>
                  <a:schemeClr val="lt1"/>
                </a:solidFill>
              </a:ln>
              <a:effectLst/>
              <a:scene3d>
                <a:camera prst="orthographicFront"/>
                <a:lightRig rig="threePt" dir="t"/>
              </a:scene3d>
              <a:sp3d contourW="25400"/>
            </c:spPr>
          </c:dPt>
          <c:dLbls>
            <c:dLbl>
              <c:idx val="0"/>
              <c:layout>
                <c:manualLayout>
                  <c:x val="-0.0105926986146778"/>
                  <c:y val="0.015782336650129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24183484994886"/>
                  <c:y val="0.070072094862210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14892557567454"/>
                  <c:y val="-0.26501530167378"/>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151227884572639"/>
                  <c:y val="-0.21046765751478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921183025796566"/>
                  <c:y val="0.091467639887728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Sheet1!$A$2:$A$6</c:f>
              <c:strCache>
                <c:ptCount val="5"/>
                <c:pt idx="0">
                  <c:v>非常不乐观</c:v>
                </c:pt>
                <c:pt idx="1">
                  <c:v>不太乐观</c:v>
                </c:pt>
                <c:pt idx="2">
                  <c:v>比较乐观</c:v>
                </c:pt>
                <c:pt idx="3">
                  <c:v>乐观</c:v>
                </c:pt>
                <c:pt idx="4">
                  <c:v>非常乐观</c:v>
                </c:pt>
              </c:strCache>
            </c:strRef>
          </c:cat>
          <c:val>
            <c:numRef>
              <c:f>Sheet1!$B$2:$B$6</c:f>
              <c:numCache>
                <c:formatCode>0.00%</c:formatCode>
                <c:ptCount val="5"/>
                <c:pt idx="0">
                  <c:v>0.0419</c:v>
                </c:pt>
                <c:pt idx="1">
                  <c:v>0.1476</c:v>
                </c:pt>
                <c:pt idx="2">
                  <c:v>0.3389</c:v>
                </c:pt>
                <c:pt idx="3">
                  <c:v>0.2453</c:v>
                </c:pt>
                <c:pt idx="4">
                  <c:v>0.2263</c:v>
                </c:pt>
              </c:numCache>
            </c:numRef>
          </c:val>
        </c:ser>
        <c:dLbls>
          <c:showLegendKey val="0"/>
          <c:showVal val="1"/>
          <c:showCatName val="0"/>
          <c:showSerName val="0"/>
          <c:showPercent val="0"/>
          <c:showBubbleSize val="0"/>
        </c:dLbls>
      </c:pie3D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百分比</c:v>
                </c:pt>
              </c:strCache>
            </c:strRef>
          </c:tx>
          <c:spPr>
            <a:solidFill>
              <a:schemeClr val="accent1"/>
            </a:solidFill>
            <a:ln>
              <a:noFill/>
            </a:ln>
            <a:effectLst/>
          </c:spPr>
          <c:invertIfNegative val="0"/>
          <c:dLbls>
            <c:dLbl>
              <c:idx val="0"/>
              <c:layout>
                <c:manualLayout>
                  <c:x val="0.00377539728752098"/>
                  <c:y val="-0.431843840850569"/>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0134970582513163"/>
                  <c:y val="-0.21540599113487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04850577244781"/>
                  <c:y val="-0.121353721616866"/>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0312047536347619"/>
                  <c:y val="-0.112081190675759"/>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210581732034746"/>
                  <c:y val="-0.0751983931012087"/>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Sheet1!$A$2:$A$6</c:f>
              <c:strCache>
                <c:ptCount val="5"/>
                <c:pt idx="0">
                  <c:v>1-99人</c:v>
                </c:pt>
                <c:pt idx="1">
                  <c:v>100-499人</c:v>
                </c:pt>
                <c:pt idx="2">
                  <c:v>500-999人</c:v>
                </c:pt>
                <c:pt idx="3">
                  <c:v>1000-4999人</c:v>
                </c:pt>
                <c:pt idx="4">
                  <c:v>5000-9999人</c:v>
                </c:pt>
              </c:strCache>
            </c:strRef>
          </c:cat>
          <c:val>
            <c:numRef>
              <c:f>Sheet1!$B$2:$B$6</c:f>
              <c:numCache>
                <c:formatCode>0.00%</c:formatCode>
                <c:ptCount val="5"/>
                <c:pt idx="0">
                  <c:v>0.5484</c:v>
                </c:pt>
                <c:pt idx="1">
                  <c:v>0.2258</c:v>
                </c:pt>
                <c:pt idx="2">
                  <c:v>0.0968</c:v>
                </c:pt>
                <c:pt idx="3">
                  <c:v>0.0968</c:v>
                </c:pt>
                <c:pt idx="4">
                  <c:v>0.0322</c:v>
                </c:pt>
              </c:numCache>
            </c:numRef>
          </c:val>
        </c:ser>
        <c:dLbls>
          <c:showLegendKey val="0"/>
          <c:showVal val="1"/>
          <c:showCatName val="0"/>
          <c:showSerName val="0"/>
          <c:showPercent val="0"/>
          <c:showBubbleSize val="0"/>
        </c:dLbls>
        <c:gapWidth val="150"/>
        <c:overlap val="100"/>
        <c:axId val="695760955"/>
        <c:axId val="963350063"/>
      </c:barChart>
      <c:catAx>
        <c:axId val="69576095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63350063"/>
        <c:crosses val="autoZero"/>
        <c:auto val="1"/>
        <c:lblAlgn val="ctr"/>
        <c:lblOffset val="100"/>
        <c:noMultiLvlLbl val="0"/>
      </c:catAx>
      <c:valAx>
        <c:axId val="963350063"/>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576095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百分比</c:v>
                </c:pt>
              </c:strCache>
            </c:strRef>
          </c:tx>
          <c:spPr>
            <a:solidFill>
              <a:schemeClr val="accent1"/>
            </a:solidFill>
            <a:ln>
              <a:noFill/>
            </a:ln>
            <a:effectLst/>
          </c:spPr>
          <c:invertIfNegative val="0"/>
          <c:dLbls>
            <c:dLbl>
              <c:idx val="0"/>
              <c:layout>
                <c:manualLayout>
                  <c:x val="0.0691242096302499"/>
                  <c:y val="0.0151204596722498"/>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27826508268724"/>
                  <c:y val="0.0115196366269824"/>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148251935486949"/>
                  <c:y val="0.010107015457788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168902480140229"/>
                  <c:y val="0"/>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191902416657375"/>
                  <c:y val="0.00672333054417875"/>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328951371805259"/>
                  <c:y val="0.00643004115226337"/>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Sheet1!$A$2:$A$7</c:f>
              <c:strCache>
                <c:ptCount val="6"/>
                <c:pt idx="0">
                  <c:v>中部省份（湖南省除外）</c:v>
                </c:pt>
                <c:pt idx="1">
                  <c:v>珠三角区域</c:v>
                </c:pt>
                <c:pt idx="2">
                  <c:v>长沙市内</c:v>
                </c:pt>
                <c:pt idx="3">
                  <c:v>长三角区域</c:v>
                </c:pt>
                <c:pt idx="4">
                  <c:v>其他区域</c:v>
                </c:pt>
                <c:pt idx="5">
                  <c:v>湖南省内（长沙市除外）</c:v>
                </c:pt>
              </c:strCache>
            </c:strRef>
          </c:cat>
          <c:val>
            <c:numRef>
              <c:f>Sheet1!$B$2:$B$7</c:f>
              <c:numCache>
                <c:formatCode>0.00%</c:formatCode>
                <c:ptCount val="6"/>
                <c:pt idx="0">
                  <c:v>0.0323</c:v>
                </c:pt>
                <c:pt idx="1">
                  <c:v>0.0968</c:v>
                </c:pt>
                <c:pt idx="2">
                  <c:v>0.129</c:v>
                </c:pt>
                <c:pt idx="3">
                  <c:v>0.1613</c:v>
                </c:pt>
                <c:pt idx="4">
                  <c:v>0.1935</c:v>
                </c:pt>
                <c:pt idx="5">
                  <c:v>0.3871</c:v>
                </c:pt>
              </c:numCache>
            </c:numRef>
          </c:val>
        </c:ser>
        <c:dLbls>
          <c:showLegendKey val="0"/>
          <c:showVal val="1"/>
          <c:showCatName val="0"/>
          <c:showSerName val="0"/>
          <c:showPercent val="0"/>
          <c:showBubbleSize val="0"/>
        </c:dLbls>
        <c:gapWidth val="150"/>
        <c:overlap val="100"/>
        <c:axId val="713670758"/>
        <c:axId val="587606328"/>
      </c:barChart>
      <c:catAx>
        <c:axId val="713670758"/>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06328"/>
        <c:crosses val="autoZero"/>
        <c:auto val="1"/>
        <c:lblAlgn val="ctr"/>
        <c:lblOffset val="100"/>
        <c:noMultiLvlLbl val="0"/>
      </c:catAx>
      <c:valAx>
        <c:axId val="587606328"/>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1367075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系列 1</c:v>
                </c:pt>
              </c:strCache>
            </c:strRef>
          </c:tx>
          <c:spPr>
            <a:solidFill>
              <a:schemeClr val="accent1"/>
            </a:solidFill>
            <a:ln>
              <a:noFill/>
            </a:ln>
            <a:effectLst/>
          </c:spPr>
          <c:invertIfNegative val="0"/>
          <c:dPt>
            <c:idx val="0"/>
            <c:invertIfNegative val="0"/>
            <c:bubble3D val="0"/>
            <c:spPr>
              <a:gradFill>
                <a:gsLst>
                  <a:gs pos="0">
                    <a:srgbClr val="007BD3"/>
                  </a:gs>
                  <a:gs pos="100000">
                    <a:srgbClr val="034373"/>
                  </a:gs>
                </a:gsLst>
                <a:lin scaled="0"/>
              </a:gradFill>
              <a:ln>
                <a:noFill/>
              </a:ln>
              <a:effectLst/>
            </c:spPr>
          </c:dPt>
          <c:dPt>
            <c:idx val="1"/>
            <c:invertIfNegative val="0"/>
            <c:bubble3D val="0"/>
            <c:spPr>
              <a:gradFill>
                <a:gsLst>
                  <a:gs pos="0">
                    <a:srgbClr val="14CD68"/>
                  </a:gs>
                  <a:gs pos="100000">
                    <a:srgbClr val="0B6E38"/>
                  </a:gs>
                </a:gsLst>
                <a:lin scaled="0"/>
              </a:gradFill>
              <a:ln>
                <a:noFill/>
              </a:ln>
              <a:effectLst/>
            </c:spPr>
          </c:dPt>
          <c:dPt>
            <c:idx val="2"/>
            <c:invertIfNegative val="0"/>
            <c:bubble3D val="0"/>
            <c:spPr>
              <a:gradFill>
                <a:gsLst>
                  <a:gs pos="0">
                    <a:srgbClr val="FECF40"/>
                  </a:gs>
                  <a:gs pos="100000">
                    <a:srgbClr val="846C21"/>
                  </a:gs>
                </a:gsLst>
                <a:lin scaled="0"/>
              </a:gradFill>
              <a:ln>
                <a:noFill/>
              </a:ln>
              <a:effectLst/>
            </c:spPr>
          </c:dPt>
          <c:dPt>
            <c:idx val="3"/>
            <c:invertIfNegative val="0"/>
            <c:bubble3D val="0"/>
            <c:spPr>
              <a:gradFill>
                <a:gsLst>
                  <a:gs pos="0">
                    <a:srgbClr val="FE4444"/>
                  </a:gs>
                  <a:gs pos="100000">
                    <a:srgbClr val="832B2B"/>
                  </a:gs>
                </a:gsLst>
                <a:lin scaled="0"/>
              </a:gradFill>
              <a:ln>
                <a:noFill/>
              </a:ln>
              <a:effectLst/>
            </c:spPr>
          </c:dPt>
          <c:dLbls>
            <c:dLbl>
              <c:idx val="0"/>
              <c:layout>
                <c:manualLayout>
                  <c:x val="-0.00177619443604475"/>
                  <c:y val="-0.10709035017375"/>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21796945872392"/>
                  <c:y val="-0.125110264635124"/>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678251983775271"/>
                  <c:y val="-0.260221241081194"/>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22715517241379"/>
                  <c:y val="-0.354074425847376"/>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498941638947687"/>
                  <c:y val="-0.169206094627105"/>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Sheet1!$A$2:$A$6</c:f>
              <c:strCache>
                <c:ptCount val="5"/>
                <c:pt idx="0">
                  <c:v>一点也不关注</c:v>
                </c:pt>
                <c:pt idx="1">
                  <c:v>不太关注</c:v>
                </c:pt>
                <c:pt idx="2">
                  <c:v>一般</c:v>
                </c:pt>
                <c:pt idx="3">
                  <c:v>比较关注</c:v>
                </c:pt>
                <c:pt idx="4">
                  <c:v>非常关注</c:v>
                </c:pt>
              </c:strCache>
            </c:strRef>
          </c:cat>
          <c:val>
            <c:numRef>
              <c:f>Sheet1!$B$2:$B$6</c:f>
              <c:numCache>
                <c:formatCode>0.00%</c:formatCode>
                <c:ptCount val="5"/>
                <c:pt idx="0">
                  <c:v>0.0645</c:v>
                </c:pt>
                <c:pt idx="1">
                  <c:v>0.0968</c:v>
                </c:pt>
                <c:pt idx="2">
                  <c:v>0.2903</c:v>
                </c:pt>
                <c:pt idx="3">
                  <c:v>0.3871</c:v>
                </c:pt>
                <c:pt idx="4">
                  <c:v>0.1613</c:v>
                </c:pt>
              </c:numCache>
            </c:numRef>
          </c:val>
        </c:ser>
        <c:dLbls>
          <c:showLegendKey val="0"/>
          <c:showVal val="1"/>
          <c:showCatName val="0"/>
          <c:showSerName val="0"/>
          <c:showPercent val="0"/>
          <c:showBubbleSize val="0"/>
        </c:dLbls>
        <c:gapWidth val="150"/>
        <c:overlap val="100"/>
        <c:axId val="457799022"/>
        <c:axId val="781167096"/>
      </c:barChart>
      <c:catAx>
        <c:axId val="45779902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1167096"/>
        <c:crosses val="autoZero"/>
        <c:auto val="1"/>
        <c:lblAlgn val="ctr"/>
        <c:lblOffset val="100"/>
        <c:noMultiLvlLbl val="0"/>
      </c:catAx>
      <c:valAx>
        <c:axId val="78116709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5779902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7122359055474"/>
          <c:y val="0.0422828096118299"/>
          <c:w val="0.679121003276466"/>
          <c:h val="0.837430683918669"/>
        </c:manualLayout>
      </c:layout>
      <c:barChart>
        <c:barDir val="bar"/>
        <c:grouping val="stacked"/>
        <c:varyColors val="0"/>
        <c:ser>
          <c:idx val="0"/>
          <c:order val="0"/>
          <c:tx>
            <c:strRef>
              <c:f>Sheet1!$B$1</c:f>
              <c:strCache>
                <c:ptCount val="1"/>
                <c:pt idx="0">
                  <c:v>百分比</c:v>
                </c:pt>
              </c:strCache>
            </c:strRef>
          </c:tx>
          <c:spPr>
            <a:solidFill>
              <a:schemeClr val="accent1"/>
            </a:solidFill>
            <a:ln>
              <a:noFill/>
            </a:ln>
            <a:effectLst/>
          </c:spPr>
          <c:invertIfNegative val="0"/>
          <c:dLbls>
            <c:dLbl>
              <c:idx val="0"/>
              <c:layout>
                <c:manualLayout>
                  <c:x val="0.0471441603892049"/>
                  <c:y val="-0.00493370336108541"/>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53428960304526"/>
                  <c:y val="-0.00162677981809816"/>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642443525082485"/>
                  <c:y val="0.0104841196423065"/>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732007375048425"/>
                  <c:y val="0.00577634011090574"/>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739581393021255"/>
                  <c:y val="0.0020852951092200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77463281754448"/>
                  <c:y val="0.00300369685767097"/>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978455763010446"/>
                  <c:y val="0.000534280289752488"/>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935210026722568"/>
                  <c:y val="0.00801470307438799"/>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0994998935500326"/>
                  <c:y val="-0.0010873697535941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22691260212924"/>
                  <c:y val="0.00493370336108541"/>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0.330032186184699"/>
                  <c:y val="0.0154178230033919"/>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0.352641397932657"/>
                  <c:y val="-0.0101757631822387"/>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Sheet1!$A$2:$A$13</c:f>
              <c:strCache>
                <c:ptCount val="12"/>
                <c:pt idx="0">
                  <c:v>学习成绩</c:v>
                </c:pt>
                <c:pt idx="1">
                  <c:v>毕业院校</c:v>
                </c:pt>
                <c:pt idx="2">
                  <c:v>学历层次</c:v>
                </c:pt>
                <c:pt idx="3">
                  <c:v>项目经验</c:v>
                </c:pt>
                <c:pt idx="4">
                  <c:v>工作/实习/兼职经历</c:v>
                </c:pt>
                <c:pt idx="5">
                  <c:v>所学专业</c:v>
                </c:pt>
                <c:pt idx="6">
                  <c:v>其他</c:v>
                </c:pt>
                <c:pt idx="7">
                  <c:v>身体素质</c:v>
                </c:pt>
                <c:pt idx="8">
                  <c:v>社会关系</c:v>
                </c:pt>
                <c:pt idx="9">
                  <c:v>社会适应能力</c:v>
                </c:pt>
                <c:pt idx="10">
                  <c:v>人品素质、忠诚度、责任心</c:v>
                </c:pt>
                <c:pt idx="11">
                  <c:v>综合素质</c:v>
                </c:pt>
              </c:strCache>
            </c:strRef>
          </c:cat>
          <c:val>
            <c:numRef>
              <c:f>Sheet1!$B$2:$B$13</c:f>
              <c:numCache>
                <c:formatCode>0.00%</c:formatCode>
                <c:ptCount val="12"/>
                <c:pt idx="0">
                  <c:v>0.0323</c:v>
                </c:pt>
                <c:pt idx="1">
                  <c:v>0.0323</c:v>
                </c:pt>
                <c:pt idx="2">
                  <c:v>0.0645</c:v>
                </c:pt>
                <c:pt idx="3">
                  <c:v>0.0968</c:v>
                </c:pt>
                <c:pt idx="4">
                  <c:v>0.0968</c:v>
                </c:pt>
                <c:pt idx="5">
                  <c:v>0.0968</c:v>
                </c:pt>
                <c:pt idx="6">
                  <c:v>0.129</c:v>
                </c:pt>
                <c:pt idx="7">
                  <c:v>0.129</c:v>
                </c:pt>
                <c:pt idx="8">
                  <c:v>0.129</c:v>
                </c:pt>
                <c:pt idx="9">
                  <c:v>0.4194</c:v>
                </c:pt>
                <c:pt idx="10">
                  <c:v>0.6774</c:v>
                </c:pt>
                <c:pt idx="11">
                  <c:v>0.7419</c:v>
                </c:pt>
              </c:numCache>
            </c:numRef>
          </c:val>
        </c:ser>
        <c:dLbls>
          <c:showLegendKey val="0"/>
          <c:showVal val="1"/>
          <c:showCatName val="0"/>
          <c:showSerName val="0"/>
          <c:showPercent val="0"/>
          <c:showBubbleSize val="0"/>
        </c:dLbls>
        <c:gapWidth val="150"/>
        <c:overlap val="100"/>
        <c:axId val="804404244"/>
        <c:axId val="746428423"/>
      </c:barChart>
      <c:catAx>
        <c:axId val="804404244"/>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46428423"/>
        <c:crosses val="autoZero"/>
        <c:auto val="1"/>
        <c:lblAlgn val="ctr"/>
        <c:lblOffset val="100"/>
        <c:noMultiLvlLbl val="0"/>
      </c:catAx>
      <c:valAx>
        <c:axId val="746428423"/>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44042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tx>
            <c:strRef>
              <c:f>Sheet1!$B$1</c:f>
              <c:strCache>
                <c:ptCount val="1"/>
                <c:pt idx="0">
                  <c:v>百分比</c:v>
                </c:pt>
              </c:strCache>
            </c:strRef>
          </c:tx>
          <c:spPr>
            <a:scene3d>
              <a:camera prst="orthographicFront"/>
              <a:lightRig rig="threePt" dir="t"/>
            </a:scene3d>
            <a:sp3d contourW="25400"/>
          </c:spPr>
          <c:explosion val="0"/>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Pt>
            <c:idx val="2"/>
            <c:bubble3D val="0"/>
            <c:spPr>
              <a:solidFill>
                <a:schemeClr val="accent3"/>
              </a:solidFill>
              <a:ln w="25400">
                <a:solidFill>
                  <a:schemeClr val="lt1"/>
                </a:solidFill>
              </a:ln>
              <a:effectLst/>
              <a:scene3d>
                <a:camera prst="orthographicFront"/>
                <a:lightRig rig="threePt" dir="t"/>
              </a:scene3d>
              <a:sp3d contourW="25400"/>
            </c:spPr>
          </c:dPt>
          <c:dLbls>
            <c:dLbl>
              <c:idx val="0"/>
              <c:layout>
                <c:manualLayout>
                  <c:x val="-0.186234961654978"/>
                  <c:y val="0.043409816533507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200085808948684"/>
                  <c:y val="0.0183951845879286"/>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非常满意</c:v>
                </c:pt>
                <c:pt idx="1">
                  <c:v>比较满意</c:v>
                </c:pt>
                <c:pt idx="2">
                  <c:v>满意</c:v>
                </c:pt>
              </c:strCache>
            </c:strRef>
          </c:cat>
          <c:val>
            <c:numRef>
              <c:f>Sheet1!$B$2:$B$4</c:f>
              <c:numCache>
                <c:formatCode>0.00%</c:formatCode>
                <c:ptCount val="3"/>
                <c:pt idx="0">
                  <c:v>0.3549</c:v>
                </c:pt>
                <c:pt idx="1">
                  <c:v>0.1935</c:v>
                </c:pt>
                <c:pt idx="2">
                  <c:v>0.4511</c:v>
                </c:pt>
              </c:numCache>
            </c:numRef>
          </c:val>
        </c:ser>
        <c:dLbls>
          <c:showLegendKey val="0"/>
          <c:showVal val="1"/>
          <c:showCatName val="0"/>
          <c:showSerName val="0"/>
          <c:showPercent val="0"/>
          <c:showBubbleSize val="0"/>
        </c:dLbls>
      </c:pie3D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系列 1</c:v>
                </c:pt>
              </c:strCache>
            </c:strRef>
          </c:tx>
          <c:spPr>
            <a:solidFill>
              <a:schemeClr val="accent1"/>
            </a:solidFill>
            <a:ln>
              <a:noFill/>
            </a:ln>
            <a:effectLst/>
          </c:spPr>
          <c:invertIfNegative val="0"/>
          <c:dLbls>
            <c:dLbl>
              <c:idx val="0"/>
              <c:layout>
                <c:manualLayout>
                  <c:x val="0.369286147130561"/>
                  <c:y val="0.0161020954637306"/>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22746128779696"/>
                  <c:y val="0.012528473804100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116223730822517"/>
                  <c:y val="0.0134535907554054"/>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943063002034366"/>
                  <c:y val="-0.00480739542809268"/>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Sheet1!$A$2:$A$5</c:f>
              <c:strCache>
                <c:ptCount val="4"/>
                <c:pt idx="0">
                  <c:v>政治思想觉悟与表现</c:v>
                </c:pt>
                <c:pt idx="1">
                  <c:v>责任心和担当精神</c:v>
                </c:pt>
                <c:pt idx="2">
                  <c:v>应对压力挫折表现</c:v>
                </c:pt>
                <c:pt idx="3">
                  <c:v>主动性和进取精神</c:v>
                </c:pt>
              </c:strCache>
            </c:strRef>
          </c:cat>
          <c:val>
            <c:numRef>
              <c:f>Sheet1!$B$2:$B$5</c:f>
              <c:numCache>
                <c:formatCode>0.00%</c:formatCode>
                <c:ptCount val="4"/>
                <c:pt idx="0">
                  <c:v>0.5484</c:v>
                </c:pt>
                <c:pt idx="1">
                  <c:v>0.2903</c:v>
                </c:pt>
                <c:pt idx="2">
                  <c:v>0.0968</c:v>
                </c:pt>
                <c:pt idx="3">
                  <c:v>0.0645</c:v>
                </c:pt>
              </c:numCache>
            </c:numRef>
          </c:val>
        </c:ser>
        <c:dLbls>
          <c:showLegendKey val="0"/>
          <c:showVal val="1"/>
          <c:showCatName val="0"/>
          <c:showSerName val="0"/>
          <c:showPercent val="0"/>
          <c:showBubbleSize val="0"/>
        </c:dLbls>
        <c:gapWidth val="150"/>
        <c:overlap val="100"/>
        <c:axId val="431435123"/>
        <c:axId val="311957293"/>
      </c:barChart>
      <c:catAx>
        <c:axId val="431435123"/>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11957293"/>
        <c:crosses val="autoZero"/>
        <c:auto val="1"/>
        <c:lblAlgn val="ctr"/>
        <c:lblOffset val="100"/>
        <c:noMultiLvlLbl val="0"/>
      </c:catAx>
      <c:valAx>
        <c:axId val="311957293"/>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143512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百分比</c:v>
                </c:pt>
              </c:strCache>
            </c:strRef>
          </c:tx>
          <c:spPr>
            <a:solidFill>
              <a:schemeClr val="accent1"/>
            </a:solidFill>
            <a:ln>
              <a:noFill/>
            </a:ln>
            <a:effectLst/>
          </c:spPr>
          <c:invertIfNegative val="0"/>
          <c:dLbls>
            <c:dLbl>
              <c:idx val="0"/>
              <c:layout>
                <c:manualLayout>
                  <c:x val="0.000234237140664488"/>
                  <c:y val="-0.26293180178476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820385604908943"/>
                  <c:y val="-0.238755052646804"/>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16140952883727"/>
                  <c:y val="-0.2176352457578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541111257753728"/>
                  <c:y val="-0.15899843980942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904664375783112"/>
                  <c:y val="-0.144526773572099"/>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00842787708741752"/>
                  <c:y val="-0.135150545981119"/>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0190755975279314"/>
                  <c:y val="-0.123329620427799"/>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0628361985671393"/>
                  <c:y val="-0.105875041829026"/>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
                  <c:y val="-0.050301810865191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
                  <c:y val="-0.05658953722334"/>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Sheet1!$A$2:$A$11</c:f>
              <c:strCache>
                <c:ptCount val="10"/>
                <c:pt idx="0">
                  <c:v>表达沟通</c:v>
                </c:pt>
                <c:pt idx="1">
                  <c:v>职业素养</c:v>
                </c:pt>
                <c:pt idx="2">
                  <c:v>求职技巧</c:v>
                </c:pt>
                <c:pt idx="3">
                  <c:v>临场反应</c:v>
                </c:pt>
                <c:pt idx="4">
                  <c:v>其他</c:v>
                </c:pt>
                <c:pt idx="5">
                  <c:v>对应聘单位的了解准备</c:v>
                </c:pt>
                <c:pt idx="6">
                  <c:v>简历制作</c:v>
                </c:pt>
                <c:pt idx="7">
                  <c:v>面试礼仪</c:v>
                </c:pt>
                <c:pt idx="8">
                  <c:v>着装礼仪</c:v>
                </c:pt>
                <c:pt idx="9">
                  <c:v>群体选拔</c:v>
                </c:pt>
              </c:strCache>
            </c:strRef>
          </c:cat>
          <c:val>
            <c:numRef>
              <c:f>Sheet1!$B$2:$B$11</c:f>
              <c:numCache>
                <c:formatCode>0.00%</c:formatCode>
                <c:ptCount val="10"/>
                <c:pt idx="0">
                  <c:v>0.3871</c:v>
                </c:pt>
                <c:pt idx="1">
                  <c:v>0.3548</c:v>
                </c:pt>
                <c:pt idx="2">
                  <c:v>0.3226</c:v>
                </c:pt>
                <c:pt idx="3">
                  <c:v>0.2258</c:v>
                </c:pt>
                <c:pt idx="4">
                  <c:v>0.1935</c:v>
                </c:pt>
                <c:pt idx="5">
                  <c:v>0.1613</c:v>
                </c:pt>
                <c:pt idx="6">
                  <c:v>0.1613</c:v>
                </c:pt>
                <c:pt idx="7">
                  <c:v>0.129</c:v>
                </c:pt>
                <c:pt idx="8">
                  <c:v>0.0323</c:v>
                </c:pt>
                <c:pt idx="9">
                  <c:v>0.0323</c:v>
                </c:pt>
              </c:numCache>
            </c:numRef>
          </c:val>
        </c:ser>
        <c:dLbls>
          <c:showLegendKey val="0"/>
          <c:showVal val="1"/>
          <c:showCatName val="0"/>
          <c:showSerName val="0"/>
          <c:showPercent val="0"/>
          <c:showBubbleSize val="0"/>
        </c:dLbls>
        <c:gapWidth val="150"/>
        <c:overlap val="100"/>
        <c:axId val="316508773"/>
        <c:axId val="812739920"/>
      </c:barChart>
      <c:catAx>
        <c:axId val="31650877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2739920"/>
        <c:crosses val="autoZero"/>
        <c:auto val="1"/>
        <c:lblAlgn val="ctr"/>
        <c:lblOffset val="100"/>
        <c:noMultiLvlLbl val="0"/>
      </c:catAx>
      <c:valAx>
        <c:axId val="81273992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1650877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tx>
            <c:strRef>
              <c:f>Sheet1!$B$1</c:f>
              <c:strCache>
                <c:ptCount val="1"/>
                <c:pt idx="0">
                  <c:v>百分比</c:v>
                </c:pt>
              </c:strCache>
            </c:strRef>
          </c:tx>
          <c:spPr>
            <a:scene3d>
              <a:camera prst="orthographicFront"/>
              <a:lightRig rig="threePt" dir="t"/>
            </a:scene3d>
            <a:sp3d contourW="25400"/>
          </c:spPr>
          <c:explosion val="0"/>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Pt>
            <c:idx val="2"/>
            <c:bubble3D val="0"/>
            <c:spPr>
              <a:solidFill>
                <a:schemeClr val="accent3"/>
              </a:solidFill>
              <a:ln w="25400">
                <a:solidFill>
                  <a:schemeClr val="lt1"/>
                </a:solidFill>
              </a:ln>
              <a:effectLst/>
              <a:scene3d>
                <a:camera prst="orthographicFront"/>
                <a:lightRig rig="threePt" dir="t"/>
              </a:scene3d>
              <a:sp3d contourW="25400"/>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非常满意</c:v>
                </c:pt>
                <c:pt idx="1">
                  <c:v>比较满意</c:v>
                </c:pt>
                <c:pt idx="2">
                  <c:v>满意</c:v>
                </c:pt>
              </c:strCache>
            </c:strRef>
          </c:cat>
          <c:val>
            <c:numRef>
              <c:f>Sheet1!$B$2:$B$4</c:f>
              <c:numCache>
                <c:formatCode>0.00%</c:formatCode>
                <c:ptCount val="3"/>
                <c:pt idx="0">
                  <c:v>0.4839</c:v>
                </c:pt>
                <c:pt idx="1">
                  <c:v>0.0645</c:v>
                </c:pt>
                <c:pt idx="2">
                  <c:v>0.4516</c:v>
                </c:pt>
              </c:numCache>
            </c:numRef>
          </c:val>
        </c:ser>
        <c:dLbls>
          <c:showLegendKey val="0"/>
          <c:showVal val="1"/>
          <c:showCatName val="0"/>
          <c:showSerName val="0"/>
          <c:showPercent val="0"/>
          <c:showBubbleSize val="0"/>
        </c:dLbls>
      </c:pie3D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百分比</c:v>
                </c:pt>
              </c:strCache>
            </c:strRef>
          </c:tx>
          <c:spPr>
            <a:solidFill>
              <a:schemeClr val="accent1"/>
            </a:solidFill>
            <a:ln>
              <a:noFill/>
            </a:ln>
            <a:effectLst/>
          </c:spPr>
          <c:invertIfNegative val="0"/>
          <c:dLbls>
            <c:dLbl>
              <c:idx val="0"/>
              <c:layout>
                <c:manualLayout>
                  <c:x val="0.0396880564812727"/>
                  <c:y val="0.00023972786554830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703263614808695"/>
                  <c:y val="0"/>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906565688971431"/>
                  <c:y val="0.000259705187677318"/>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110987054948301"/>
                  <c:y val="0.00945324476239144"/>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138573162454401"/>
                  <c:y val="0.00612341026848799"/>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204564181835331"/>
                  <c:y val="0.0122752220310871"/>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202542515465281"/>
                  <c:y val="0.0063915396281474"/>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232046730042378"/>
                  <c:y val="0.00682995760715968"/>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237382602221968"/>
                  <c:y val="0.0108337258596326"/>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23765891650441"/>
                  <c:y val="0.00588789448893076"/>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0.344977665788569"/>
                  <c:y val="-0.00588789448893076"/>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Sheet1!$A$2:$A$12</c:f>
              <c:strCache>
                <c:ptCount val="11"/>
                <c:pt idx="0">
                  <c:v>改进招聘硬件设施</c:v>
                </c:pt>
                <c:pt idx="1">
                  <c:v>及时办理毕业生就业手续</c:v>
                </c:pt>
                <c:pt idx="2">
                  <c:v>开展校企活动</c:v>
                </c:pt>
                <c:pt idx="3">
                  <c:v>提高就业指导教师的专业水平</c:v>
                </c:pt>
                <c:pt idx="4">
                  <c:v>拓宽服务项目</c:v>
                </c:pt>
                <c:pt idx="5">
                  <c:v>其他</c:v>
                </c:pt>
                <c:pt idx="6">
                  <c:v>加大对毕业生的推荐力度</c:v>
                </c:pt>
                <c:pt idx="7">
                  <c:v>加强校企沟通</c:v>
                </c:pt>
                <c:pt idx="8">
                  <c:v>及时更新发布招聘信息</c:v>
                </c:pt>
                <c:pt idx="9">
                  <c:v>增加校园招聘会场次</c:v>
                </c:pt>
                <c:pt idx="10">
                  <c:v>加强毕业生就业指导</c:v>
                </c:pt>
              </c:strCache>
            </c:strRef>
          </c:cat>
          <c:val>
            <c:numRef>
              <c:f>Sheet1!$B$2:$B$12</c:f>
              <c:numCache>
                <c:formatCode>0.00%</c:formatCode>
                <c:ptCount val="11"/>
                <c:pt idx="0">
                  <c:v>0</c:v>
                </c:pt>
                <c:pt idx="1">
                  <c:v>0.0323</c:v>
                </c:pt>
                <c:pt idx="2">
                  <c:v>0.0645</c:v>
                </c:pt>
                <c:pt idx="3">
                  <c:v>0.0968</c:v>
                </c:pt>
                <c:pt idx="4">
                  <c:v>0.129</c:v>
                </c:pt>
                <c:pt idx="5">
                  <c:v>0.2258</c:v>
                </c:pt>
                <c:pt idx="6">
                  <c:v>0.2258</c:v>
                </c:pt>
                <c:pt idx="7">
                  <c:v>0.2581</c:v>
                </c:pt>
                <c:pt idx="8">
                  <c:v>0.2581</c:v>
                </c:pt>
                <c:pt idx="9">
                  <c:v>0.2581</c:v>
                </c:pt>
                <c:pt idx="10">
                  <c:v>0.4194</c:v>
                </c:pt>
              </c:numCache>
            </c:numRef>
          </c:val>
        </c:ser>
        <c:dLbls>
          <c:showLegendKey val="0"/>
          <c:showVal val="1"/>
          <c:showCatName val="0"/>
          <c:showSerName val="0"/>
          <c:showPercent val="0"/>
          <c:showBubbleSize val="0"/>
        </c:dLbls>
        <c:gapWidth val="150"/>
        <c:overlap val="100"/>
        <c:axId val="445482149"/>
        <c:axId val="989359962"/>
      </c:barChart>
      <c:catAx>
        <c:axId val="445482149"/>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9359962"/>
        <c:crosses val="autoZero"/>
        <c:auto val="1"/>
        <c:lblAlgn val="ctr"/>
        <c:lblOffset val="100"/>
        <c:noMultiLvlLbl val="0"/>
      </c:catAx>
      <c:valAx>
        <c:axId val="989359962"/>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4548214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系列 1</c:v>
                </c:pt>
              </c:strCache>
            </c:strRef>
          </c:tx>
          <c:dLbls>
            <c:dLbl>
              <c:idx val="1"/>
              <c:layout>
                <c:manualLayout>
                  <c:x val="-0.0304547915538711"/>
                  <c:y val="0.061208677685950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22911051212938"/>
                  <c:y val="-0.029831718510963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Sheet1!$A$2:$A$4</c:f>
              <c:strCache>
                <c:ptCount val="3"/>
                <c:pt idx="0">
                  <c:v>2021届</c:v>
                </c:pt>
                <c:pt idx="1">
                  <c:v>2022届</c:v>
                </c:pt>
                <c:pt idx="2">
                  <c:v>2023届</c:v>
                </c:pt>
              </c:strCache>
            </c:strRef>
          </c:cat>
          <c:val>
            <c:numRef>
              <c:f>Sheet1!$B$2:$B$4</c:f>
              <c:numCache>
                <c:formatCode>0.00%</c:formatCode>
                <c:ptCount val="3"/>
                <c:pt idx="0">
                  <c:v>0.943</c:v>
                </c:pt>
                <c:pt idx="1">
                  <c:v>0.9557</c:v>
                </c:pt>
                <c:pt idx="2">
                  <c:v>0.956</c:v>
                </c:pt>
              </c:numCache>
            </c:numRef>
          </c:val>
          <c:smooth val="0"/>
        </c:ser>
        <c:dLbls>
          <c:showLegendKey val="0"/>
          <c:showVal val="1"/>
          <c:showCatName val="0"/>
          <c:showSerName val="0"/>
          <c:showPercent val="0"/>
          <c:showBubbleSize val="0"/>
        </c:dLbls>
        <c:marker val="1"/>
        <c:smooth val="0"/>
        <c:axId val="239131264"/>
        <c:axId val="240451968"/>
      </c:lineChart>
      <c:catAx>
        <c:axId val="23913126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40451968"/>
        <c:crosses val="autoZero"/>
        <c:auto val="1"/>
        <c:lblAlgn val="ctr"/>
        <c:lblOffset val="100"/>
        <c:noMultiLvlLbl val="0"/>
      </c:catAx>
      <c:valAx>
        <c:axId val="240451968"/>
        <c:scaling>
          <c:orientation val="minMax"/>
        </c:scaling>
        <c:delete val="0"/>
        <c:axPos val="l"/>
        <c:majorGridlines/>
        <c:numFmt formatCode="0.0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39131264"/>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百分比</c:v>
                </c:pt>
              </c:strCache>
            </c:strRef>
          </c:tx>
          <c:spPr>
            <a:solidFill>
              <a:schemeClr val="accent1"/>
            </a:solidFill>
            <a:ln>
              <a:noFill/>
            </a:ln>
            <a:effectLst/>
          </c:spPr>
          <c:invertIfNegative val="0"/>
          <c:dLbls>
            <c:dLbl>
              <c:idx val="0"/>
              <c:layout>
                <c:manualLayout>
                  <c:x val="0.00133564845732603"/>
                  <c:y val="-0.237569060773481"/>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333912114331508"/>
                  <c:y val="-0.331972135479221"/>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868171497261921"/>
                  <c:y val="-0.247177516214268"/>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560972352076933"/>
                  <c:y val="-0.190968051885659"/>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507546413783892"/>
                  <c:y val="-0.09488349747778"/>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041405102177107"/>
                  <c:y val="-0.056930098486668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0747963136102578"/>
                  <c:y val="-0.0509248138361758"/>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0667824228663016"/>
                  <c:y val="-0.0401153014652895"/>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
                  <c:y val="-0.052125870766274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00894884466408441"/>
                  <c:y val="-0.052125870766274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Sheet1!$A$2:$A$11</c:f>
              <c:strCache>
                <c:ptCount val="10"/>
                <c:pt idx="0">
                  <c:v>3000元以下</c:v>
                </c:pt>
                <c:pt idx="1">
                  <c:v>3001-4000元</c:v>
                </c:pt>
                <c:pt idx="2">
                  <c:v>4001-5000元</c:v>
                </c:pt>
                <c:pt idx="3">
                  <c:v>5001-6000元</c:v>
                </c:pt>
                <c:pt idx="4">
                  <c:v>6001-7000元</c:v>
                </c:pt>
                <c:pt idx="5">
                  <c:v>7001-8000元</c:v>
                </c:pt>
                <c:pt idx="6">
                  <c:v>8001-9000元</c:v>
                </c:pt>
                <c:pt idx="7">
                  <c:v>9001-10000元</c:v>
                </c:pt>
                <c:pt idx="8">
                  <c:v>10001-15000元</c:v>
                </c:pt>
                <c:pt idx="9">
                  <c:v>15000元以上</c:v>
                </c:pt>
              </c:strCache>
            </c:strRef>
          </c:cat>
          <c:val>
            <c:numRef>
              <c:f>Sheet1!$B$2:$B$11</c:f>
              <c:numCache>
                <c:formatCode>0.00%</c:formatCode>
                <c:ptCount val="10"/>
                <c:pt idx="0">
                  <c:v>0.207</c:v>
                </c:pt>
                <c:pt idx="1">
                  <c:v>0.2996</c:v>
                </c:pt>
                <c:pt idx="2">
                  <c:v>0.2253</c:v>
                </c:pt>
                <c:pt idx="3">
                  <c:v>0.1616</c:v>
                </c:pt>
                <c:pt idx="4">
                  <c:v>0.0533</c:v>
                </c:pt>
                <c:pt idx="5">
                  <c:v>0.0279</c:v>
                </c:pt>
                <c:pt idx="6">
                  <c:v>0.0105</c:v>
                </c:pt>
                <c:pt idx="7">
                  <c:v>0.0044</c:v>
                </c:pt>
                <c:pt idx="8">
                  <c:v>0.0035</c:v>
                </c:pt>
                <c:pt idx="9">
                  <c:v>0.0069</c:v>
                </c:pt>
              </c:numCache>
            </c:numRef>
          </c:val>
        </c:ser>
        <c:dLbls>
          <c:showLegendKey val="0"/>
          <c:showVal val="0"/>
          <c:showCatName val="0"/>
          <c:showSerName val="0"/>
          <c:showPercent val="0"/>
          <c:showBubbleSize val="0"/>
        </c:dLbls>
        <c:gapWidth val="150"/>
        <c:overlap val="100"/>
        <c:axId val="322658713"/>
        <c:axId val="374269042"/>
      </c:barChart>
      <c:catAx>
        <c:axId val="32265871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74269042"/>
        <c:crosses val="autoZero"/>
        <c:auto val="1"/>
        <c:lblAlgn val="ctr"/>
        <c:lblOffset val="100"/>
        <c:noMultiLvlLbl val="0"/>
      </c:catAx>
      <c:valAx>
        <c:axId val="37426904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265871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系列 1</c:v>
                </c:pt>
              </c:strCache>
            </c:strRef>
          </c:tx>
          <c:dLbls>
            <c:dLbl>
              <c:idx val="0"/>
              <c:layout>
                <c:manualLayout>
                  <c:x val="-0.00633793890226898"/>
                  <c:y val="-0.046987858032378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7365952592217"/>
                  <c:y val="-0.0585305105853051"/>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74927113702624"/>
                  <c:y val="-0.054483188044831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Sheet1!$A$2:$A$4</c:f>
              <c:strCache>
                <c:ptCount val="3"/>
                <c:pt idx="0">
                  <c:v>2021届</c:v>
                </c:pt>
                <c:pt idx="1">
                  <c:v>2022届</c:v>
                </c:pt>
                <c:pt idx="2">
                  <c:v>2023届</c:v>
                </c:pt>
              </c:strCache>
            </c:strRef>
          </c:cat>
          <c:val>
            <c:numRef>
              <c:f>Sheet1!$B$2:$B$4</c:f>
              <c:numCache>
                <c:formatCode>0.00%</c:formatCode>
                <c:ptCount val="3"/>
                <c:pt idx="0">
                  <c:v>0.0382</c:v>
                </c:pt>
                <c:pt idx="1">
                  <c:v>0.0357</c:v>
                </c:pt>
                <c:pt idx="2">
                  <c:v>0.0308</c:v>
                </c:pt>
              </c:numCache>
            </c:numRef>
          </c:val>
          <c:smooth val="0"/>
        </c:ser>
        <c:dLbls>
          <c:showLegendKey val="0"/>
          <c:showVal val="1"/>
          <c:showCatName val="0"/>
          <c:showSerName val="0"/>
          <c:showPercent val="0"/>
          <c:showBubbleSize val="0"/>
        </c:dLbls>
        <c:marker val="1"/>
        <c:smooth val="0"/>
        <c:axId val="238800256"/>
        <c:axId val="238810240"/>
      </c:lineChart>
      <c:catAx>
        <c:axId val="23880025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38810240"/>
        <c:crosses val="autoZero"/>
        <c:auto val="1"/>
        <c:lblAlgn val="ctr"/>
        <c:lblOffset val="100"/>
        <c:noMultiLvlLbl val="0"/>
      </c:catAx>
      <c:valAx>
        <c:axId val="238810240"/>
        <c:scaling>
          <c:orientation val="minMax"/>
        </c:scaling>
        <c:delete val="0"/>
        <c:axPos val="l"/>
        <c:majorGridlines/>
        <c:numFmt formatCode="0.0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38800256"/>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6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系列 1</c:v>
                </c:pt>
              </c:strCache>
            </c:strRef>
          </c:tx>
          <c:dLbls>
            <c:dLbl>
              <c:idx val="0"/>
              <c:layout>
                <c:manualLayout>
                  <c:x val="-0.00144473874307729"/>
                  <c:y val="0.041279669762641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Sheet1!$A$2:$A$4</c:f>
              <c:strCache>
                <c:ptCount val="3"/>
                <c:pt idx="0">
                  <c:v>2021届</c:v>
                </c:pt>
                <c:pt idx="1">
                  <c:v>2022届</c:v>
                </c:pt>
                <c:pt idx="2">
                  <c:v>2023届</c:v>
                </c:pt>
              </c:strCache>
            </c:strRef>
          </c:cat>
          <c:val>
            <c:numRef>
              <c:f>Sheet1!$B$2:$B$4</c:f>
              <c:numCache>
                <c:formatCode>0.00%</c:formatCode>
                <c:ptCount val="3"/>
                <c:pt idx="0">
                  <c:v>0.004</c:v>
                </c:pt>
                <c:pt idx="1">
                  <c:v>0.0049</c:v>
                </c:pt>
                <c:pt idx="2">
                  <c:v>0.0177</c:v>
                </c:pt>
              </c:numCache>
            </c:numRef>
          </c:val>
          <c:smooth val="0"/>
        </c:ser>
        <c:dLbls>
          <c:showLegendKey val="0"/>
          <c:showVal val="1"/>
          <c:showCatName val="0"/>
          <c:showSerName val="0"/>
          <c:showPercent val="0"/>
          <c:showBubbleSize val="0"/>
        </c:dLbls>
        <c:marker val="1"/>
        <c:smooth val="0"/>
        <c:axId val="238800256"/>
        <c:axId val="238810240"/>
      </c:lineChart>
      <c:catAx>
        <c:axId val="23880025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38810240"/>
        <c:crosses val="autoZero"/>
        <c:auto val="1"/>
        <c:lblAlgn val="ctr"/>
        <c:lblOffset val="100"/>
        <c:noMultiLvlLbl val="0"/>
      </c:catAx>
      <c:valAx>
        <c:axId val="238810240"/>
        <c:scaling>
          <c:orientation val="minMax"/>
        </c:scaling>
        <c:delete val="0"/>
        <c:axPos val="l"/>
        <c:majorGridlines/>
        <c:numFmt formatCode="0.0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38800256"/>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百分比</c:v>
                </c:pt>
              </c:strCache>
            </c:strRef>
          </c:tx>
          <c:spPr/>
          <c:explosion val="0"/>
          <c:dPt>
            <c:idx val="0"/>
            <c:bubble3D val="0"/>
            <c:explosion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不满意</c:v>
                </c:pt>
                <c:pt idx="1">
                  <c:v>不太满意</c:v>
                </c:pt>
                <c:pt idx="2">
                  <c:v>满意</c:v>
                </c:pt>
                <c:pt idx="3">
                  <c:v>比较满意</c:v>
                </c:pt>
                <c:pt idx="4">
                  <c:v>非常满意</c:v>
                </c:pt>
              </c:strCache>
            </c:strRef>
          </c:cat>
          <c:val>
            <c:numRef>
              <c:f>Sheet1!$B$2:$B$6</c:f>
              <c:numCache>
                <c:formatCode>0.00%</c:formatCode>
                <c:ptCount val="5"/>
                <c:pt idx="0">
                  <c:v>0.117</c:v>
                </c:pt>
                <c:pt idx="1">
                  <c:v>0.3852</c:v>
                </c:pt>
                <c:pt idx="2">
                  <c:v>0.269</c:v>
                </c:pt>
                <c:pt idx="3">
                  <c:v>0.1904</c:v>
                </c:pt>
                <c:pt idx="4">
                  <c:v>0.0384</c:v>
                </c:pt>
              </c:numCache>
            </c:numRef>
          </c:val>
        </c:ser>
        <c:dLbls>
          <c:showLegendKey val="0"/>
          <c:showVal val="0"/>
          <c:showCatName val="1"/>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tx>
            <c:strRef>
              <c:f>Sheet1!$B$1</c:f>
              <c:strCache>
                <c:ptCount val="1"/>
                <c:pt idx="0">
                  <c:v>百分比</c:v>
                </c:pt>
              </c:strCache>
            </c:strRef>
          </c:tx>
          <c:spPr>
            <a:scene3d>
              <a:camera prst="orthographicFront"/>
              <a:lightRig rig="threePt" dir="t"/>
            </a:scene3d>
            <a:sp3d contourW="25400"/>
          </c:spPr>
          <c:explosion val="0"/>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Pt>
            <c:idx val="2"/>
            <c:bubble3D val="0"/>
            <c:spPr>
              <a:solidFill>
                <a:schemeClr val="accent3"/>
              </a:solidFill>
              <a:ln w="25400">
                <a:solidFill>
                  <a:schemeClr val="lt1"/>
                </a:solidFill>
              </a:ln>
              <a:effectLst/>
              <a:scene3d>
                <a:camera prst="orthographicFront"/>
                <a:lightRig rig="threePt" dir="t"/>
              </a:scene3d>
              <a:sp3d contourW="25400"/>
            </c:spPr>
          </c:dPt>
          <c:dPt>
            <c:idx val="3"/>
            <c:bubble3D val="0"/>
            <c:spPr>
              <a:solidFill>
                <a:schemeClr val="accent4"/>
              </a:solidFill>
              <a:ln w="25400">
                <a:solidFill>
                  <a:schemeClr val="lt1"/>
                </a:solidFill>
              </a:ln>
              <a:effectLst/>
              <a:scene3d>
                <a:camera prst="orthographicFront"/>
                <a:lightRig rig="threePt" dir="t"/>
              </a:scene3d>
              <a:sp3d contourW="25400"/>
            </c:spPr>
          </c:dPt>
          <c:dLbls>
            <c:dLbl>
              <c:idx val="2"/>
              <c:layout>
                <c:manualLayout>
                  <c:x val="0.102490421455939"/>
                  <c:y val="-0.15466485507246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五险一金</c:v>
                </c:pt>
                <c:pt idx="1">
                  <c:v>仅五险</c:v>
                </c:pt>
                <c:pt idx="2">
                  <c:v>提供五险一金外，还提供其他保障和补贴</c:v>
                </c:pt>
                <c:pt idx="3">
                  <c:v>不提供社保和公积金</c:v>
                </c:pt>
              </c:strCache>
            </c:strRef>
          </c:cat>
          <c:val>
            <c:numRef>
              <c:f>Sheet1!$B$2:$B$5</c:f>
              <c:numCache>
                <c:formatCode>0.00%</c:formatCode>
                <c:ptCount val="4"/>
                <c:pt idx="0">
                  <c:v>0.3563</c:v>
                </c:pt>
                <c:pt idx="1">
                  <c:v>0.2541</c:v>
                </c:pt>
                <c:pt idx="2">
                  <c:v>0.1258</c:v>
                </c:pt>
                <c:pt idx="3">
                  <c:v>0.2638</c:v>
                </c:pt>
              </c:numCache>
            </c:numRef>
          </c:val>
        </c:ser>
        <c:dLbls>
          <c:showLegendKey val="0"/>
          <c:showVal val="1"/>
          <c:showCatName val="0"/>
          <c:showSerName val="0"/>
          <c:showPercent val="0"/>
          <c:showBubbleSize val="0"/>
        </c:dLbls>
      </c:pie3D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百分比</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0"/>
              <c:layout>
                <c:manualLayout>
                  <c:x val="-0.0844524835824774"/>
                  <c:y val="0.166515962275437"/>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0.184034065571013"/>
                  <c:y val="-0.0982469370083841"/>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2"/>
              <c:layout>
                <c:manualLayout>
                  <c:x val="0.0846392591584695"/>
                  <c:y val="-0.217856947737293"/>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3"/>
              <c:layout>
                <c:manualLayout>
                  <c:x val="0.186227026665812"/>
                  <c:y val="0.0720428451836288"/>
                </c:manualLayout>
              </c:layout>
              <c:dLblPos val="bestFit"/>
              <c:showLegendKey val="0"/>
              <c:showVal val="1"/>
              <c:showCatName val="1"/>
              <c:showSerName val="0"/>
              <c:showPercent val="0"/>
              <c:showBubbleSize val="0"/>
              <c:extLst>
                <c:ext xmlns:c15="http://schemas.microsoft.com/office/drawing/2012/chart" uri="{CE6537A1-D6FC-4f65-9D91-7224C49458BB}">
                  <c15:layout>
                    <c:manualLayout>
                      <c:w val="0.139392030240983"/>
                      <c:h val="0.169566346403532"/>
                    </c:manualLayout>
                  </c15:layout>
                </c:ext>
              </c:extLst>
            </c:dLbl>
            <c:dLbl>
              <c:idx val="4"/>
              <c:layout>
                <c:manualLayout>
                  <c:x val="0.0558792468811913"/>
                  <c:y val="0.150164090931996"/>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不相关</c:v>
                </c:pt>
                <c:pt idx="1">
                  <c:v>不太相关</c:v>
                </c:pt>
                <c:pt idx="2">
                  <c:v>相关</c:v>
                </c:pt>
                <c:pt idx="3">
                  <c:v>比较相关</c:v>
                </c:pt>
                <c:pt idx="4">
                  <c:v>非常相关</c:v>
                </c:pt>
              </c:strCache>
            </c:strRef>
          </c:cat>
          <c:val>
            <c:numRef>
              <c:f>Sheet1!$B$2:$B$6</c:f>
              <c:numCache>
                <c:formatCode>0.00%</c:formatCode>
                <c:ptCount val="5"/>
                <c:pt idx="0">
                  <c:v>0.1825</c:v>
                </c:pt>
                <c:pt idx="1">
                  <c:v>0.2769</c:v>
                </c:pt>
                <c:pt idx="2">
                  <c:v>0.2323</c:v>
                </c:pt>
                <c:pt idx="3">
                  <c:v>0.1939</c:v>
                </c:pt>
                <c:pt idx="4">
                  <c:v>0.1144</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ED2934-18BD-4583-B0C1-45D898771F1C}">
  <ds:schemaRefs/>
</ds:datastoreItem>
</file>

<file path=docProps/app.xml><?xml version="1.0" encoding="utf-8"?>
<Properties xmlns="http://schemas.openxmlformats.org/officeDocument/2006/extended-properties" xmlns:vt="http://schemas.openxmlformats.org/officeDocument/2006/docPropsVTypes">
  <Template>Normal</Template>
  <Pages>73</Pages>
  <Words>22786</Words>
  <Characters>26811</Characters>
  <Lines>117</Lines>
  <Paragraphs>32</Paragraphs>
  <TotalTime>1</TotalTime>
  <ScaleCrop>false</ScaleCrop>
  <LinksUpToDate>false</LinksUpToDate>
  <CharactersWithSpaces>27398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2019-12-26T08:19:00Z</dcterms:created>
  <dc:creator>Administrator</dc:creator>
  <cp:lastModifiedBy>吹个大气球</cp:lastModifiedBy>
  <cp:lastPrinted>2023-12-28T07:30:00Z</cp:lastPrinted>
  <dcterms:modified xsi:type="dcterms:W3CDTF">2023-12-28T07:43:23Z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6FD64F0CC88043319C31709D5ACCC1E7_13</vt:lpwstr>
  </property>
</Properties>
</file>